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6D1" w:rsidRPr="00D276D1" w:rsidRDefault="00D276D1" w:rsidP="00D276D1">
      <w:pPr>
        <w:spacing w:before="100" w:beforeAutospacing="1" w:after="100" w:afterAutospacing="1" w:line="240" w:lineRule="auto"/>
        <w:outlineLvl w:val="1"/>
        <w:rPr>
          <w:rFonts w:ascii="Times New Roman" w:eastAsia="Times New Roman" w:hAnsi="Times New Roman"/>
          <w:b/>
          <w:sz w:val="36"/>
          <w:szCs w:val="36"/>
          <w:lang w:eastAsia="fr-FR"/>
        </w:rPr>
      </w:pPr>
      <w:bookmarkStart w:id="0" w:name="_GoBack"/>
      <w:bookmarkEnd w:id="0"/>
      <w:r w:rsidRPr="00D276D1">
        <w:rPr>
          <w:rFonts w:ascii="Times New Roman" w:eastAsia="Times New Roman" w:hAnsi="Times New Roman"/>
          <w:b/>
          <w:sz w:val="36"/>
          <w:szCs w:val="36"/>
          <w:lang w:eastAsia="fr-FR"/>
        </w:rPr>
        <w:t>Le “droit à la prise” EST DEVENU une obligation légale</w:t>
      </w:r>
    </w:p>
    <w:p w:rsidR="00D276D1" w:rsidRPr="00D276D1" w:rsidRDefault="00D276D1" w:rsidP="00D276D1">
      <w:pPr>
        <w:spacing w:before="100" w:beforeAutospacing="1" w:after="100" w:afterAutospacing="1" w:line="240" w:lineRule="auto"/>
        <w:rPr>
          <w:rFonts w:ascii="Times New Roman" w:eastAsia="Times New Roman" w:hAnsi="Times New Roman"/>
          <w:bCs w:val="0"/>
          <w:szCs w:val="24"/>
          <w:lang w:eastAsia="fr-FR"/>
        </w:rPr>
      </w:pPr>
      <w:r w:rsidRPr="00D276D1">
        <w:rPr>
          <w:rFonts w:ascii="Times New Roman" w:eastAsia="Times New Roman" w:hAnsi="Times New Roman"/>
          <w:bCs w:val="0"/>
          <w:szCs w:val="24"/>
          <w:lang w:eastAsia="fr-FR"/>
        </w:rPr>
        <w:t>Depuis 2012 toute construction de bureaux, bâtiments d’habitations, de commerces, d’entrepôts, d'entreprises… avec parking, doit prévoir le pré-équipement des places de stationnement d'une installation dédiée à la recharge électrique d'un véhicule électrique ou hybride rechargeable.</w:t>
      </w:r>
      <w:r w:rsidRPr="00D276D1">
        <w:rPr>
          <w:rFonts w:ascii="Times New Roman" w:eastAsia="Times New Roman" w:hAnsi="Times New Roman"/>
          <w:bCs w:val="0"/>
          <w:szCs w:val="24"/>
          <w:lang w:eastAsia="fr-FR"/>
        </w:rPr>
        <w:br/>
        <w:t xml:space="preserve">En 2015, dans les habitations collectives </w:t>
      </w:r>
      <w:proofErr w:type="spellStart"/>
      <w:r w:rsidRPr="00D276D1">
        <w:rPr>
          <w:rFonts w:ascii="Times New Roman" w:eastAsia="Times New Roman" w:hAnsi="Times New Roman"/>
          <w:bCs w:val="0"/>
          <w:szCs w:val="24"/>
          <w:lang w:eastAsia="fr-FR"/>
        </w:rPr>
        <w:t>pré-existantes</w:t>
      </w:r>
      <w:proofErr w:type="spellEnd"/>
      <w:r w:rsidRPr="00D276D1">
        <w:rPr>
          <w:rFonts w:ascii="Times New Roman" w:eastAsia="Times New Roman" w:hAnsi="Times New Roman"/>
          <w:bCs w:val="0"/>
          <w:szCs w:val="24"/>
          <w:lang w:eastAsia="fr-FR"/>
        </w:rPr>
        <w:t>, tout occupant pourra faire valoir son “droit à la prise” et obliger la copropriété à respecter</w:t>
      </w:r>
      <w:r w:rsidRPr="00D276D1">
        <w:rPr>
          <w:rFonts w:ascii="Times New Roman" w:eastAsia="Times New Roman" w:hAnsi="Times New Roman"/>
          <w:bCs w:val="0"/>
          <w:szCs w:val="24"/>
          <w:lang w:eastAsia="fr-FR"/>
        </w:rPr>
        <w:br/>
        <w:t>la loi.</w:t>
      </w:r>
    </w:p>
    <w:p w:rsidR="00D276D1" w:rsidRDefault="00D276D1" w:rsidP="00D276D1">
      <w:pPr>
        <w:rPr>
          <w:rFonts w:eastAsia="Times New Roman" w:cs="Arial"/>
          <w:bCs w:val="0"/>
          <w:sz w:val="22"/>
          <w:szCs w:val="22"/>
          <w:lang w:eastAsia="fr-FR"/>
        </w:rPr>
      </w:pPr>
    </w:p>
    <w:p w:rsidR="00D276D1" w:rsidRPr="009F11A5" w:rsidRDefault="00D276D1" w:rsidP="00D276D1">
      <w:r>
        <w:rPr>
          <w:rFonts w:eastAsia="Times New Roman" w:cs="Arial"/>
          <w:bCs w:val="0"/>
          <w:sz w:val="22"/>
          <w:szCs w:val="22"/>
          <w:lang w:eastAsia="fr-FR"/>
        </w:rPr>
        <w:t>Prise</w:t>
      </w:r>
      <w:r w:rsidRPr="009F11A5">
        <w:rPr>
          <w:rFonts w:eastAsia="Times New Roman" w:cs="Arial"/>
          <w:bCs w:val="0"/>
          <w:sz w:val="22"/>
          <w:szCs w:val="22"/>
          <w:lang w:eastAsia="fr-FR"/>
        </w:rPr>
        <w:t xml:space="preserve"> </w:t>
      </w:r>
      <w:r>
        <w:rPr>
          <w:rFonts w:eastAsia="Times New Roman" w:cs="Arial"/>
          <w:bCs w:val="0"/>
          <w:sz w:val="22"/>
          <w:szCs w:val="22"/>
          <w:lang w:eastAsia="fr-FR"/>
        </w:rPr>
        <w:t xml:space="preserve"> </w:t>
      </w:r>
      <w:proofErr w:type="spellStart"/>
      <w:r w:rsidRPr="009F11A5">
        <w:rPr>
          <w:rFonts w:eastAsia="Times New Roman" w:cs="Arial"/>
          <w:bCs w:val="0"/>
          <w:sz w:val="22"/>
          <w:szCs w:val="22"/>
          <w:lang w:eastAsia="fr-FR"/>
        </w:rPr>
        <w:t>Green’up</w:t>
      </w:r>
      <w:proofErr w:type="spellEnd"/>
      <w:r w:rsidRPr="009F11A5">
        <w:rPr>
          <w:rFonts w:eastAsia="Times New Roman" w:cs="Arial"/>
          <w:bCs w:val="0"/>
          <w:sz w:val="22"/>
          <w:szCs w:val="22"/>
          <w:lang w:eastAsia="fr-FR"/>
        </w:rPr>
        <w:t xml:space="preserve"> </w:t>
      </w:r>
      <w:r>
        <w:rPr>
          <w:rFonts w:eastAsia="Times New Roman" w:cs="Arial"/>
          <w:bCs w:val="0"/>
          <w:sz w:val="22"/>
          <w:szCs w:val="22"/>
          <w:lang w:eastAsia="fr-FR"/>
        </w:rPr>
        <w:t xml:space="preserve"> </w:t>
      </w:r>
      <w:proofErr w:type="spellStart"/>
      <w:r w:rsidRPr="009F11A5">
        <w:rPr>
          <w:rFonts w:eastAsia="Times New Roman" w:cs="Arial"/>
          <w:bCs w:val="0"/>
          <w:sz w:val="22"/>
          <w:szCs w:val="22"/>
          <w:lang w:eastAsia="fr-FR"/>
        </w:rPr>
        <w:t>access</w:t>
      </w:r>
      <w:proofErr w:type="spellEnd"/>
      <w:r w:rsidRPr="009F11A5">
        <w:rPr>
          <w:rFonts w:eastAsia="Times New Roman" w:cs="Arial"/>
          <w:bCs w:val="0"/>
          <w:sz w:val="22"/>
          <w:szCs w:val="22"/>
          <w:lang w:eastAsia="fr-FR"/>
        </w:rPr>
        <w:t xml:space="preserve"> 3,2 </w:t>
      </w:r>
      <w:proofErr w:type="spellStart"/>
      <w:r w:rsidRPr="009F11A5">
        <w:rPr>
          <w:rFonts w:eastAsia="Times New Roman" w:cs="Arial"/>
          <w:bCs w:val="0"/>
          <w:sz w:val="22"/>
          <w:szCs w:val="22"/>
          <w:lang w:eastAsia="fr-FR"/>
        </w:rPr>
        <w:t>k</w:t>
      </w:r>
      <w:r>
        <w:rPr>
          <w:rFonts w:eastAsia="Times New Roman" w:cs="Arial"/>
          <w:bCs w:val="0"/>
          <w:sz w:val="22"/>
          <w:szCs w:val="22"/>
          <w:lang w:eastAsia="fr-FR"/>
        </w:rPr>
        <w:t>VA</w:t>
      </w:r>
      <w:proofErr w:type="spellEnd"/>
      <w:r>
        <w:rPr>
          <w:rFonts w:eastAsia="Times New Roman" w:cs="Arial"/>
          <w:bCs w:val="0"/>
          <w:sz w:val="22"/>
          <w:szCs w:val="22"/>
          <w:lang w:eastAsia="fr-FR"/>
        </w:rPr>
        <w:t xml:space="preserve"> </w:t>
      </w:r>
      <w:r w:rsidRPr="009F11A5">
        <w:rPr>
          <w:rFonts w:eastAsia="Times New Roman" w:cs="Arial"/>
          <w:bCs w:val="0"/>
          <w:sz w:val="22"/>
          <w:szCs w:val="22"/>
          <w:lang w:eastAsia="fr-FR"/>
        </w:rPr>
        <w:t>et fiche</w:t>
      </w:r>
      <w:r>
        <w:rPr>
          <w:rFonts w:eastAsia="Times New Roman" w:cs="Arial"/>
          <w:bCs w:val="0"/>
          <w:sz w:val="22"/>
          <w:szCs w:val="22"/>
          <w:lang w:eastAsia="fr-FR"/>
        </w:rPr>
        <w:t xml:space="preserve"> </w:t>
      </w:r>
      <w:r w:rsidRPr="009F11A5">
        <w:rPr>
          <w:rFonts w:eastAsia="Times New Roman" w:cs="Arial"/>
          <w:bCs w:val="0"/>
          <w:sz w:val="23"/>
          <w:szCs w:val="23"/>
          <w:lang w:eastAsia="fr-FR"/>
        </w:rPr>
        <w:t>pour recharge véhicules électriques ou hybrides rechargeable</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Permet de recharger en toute sécurité les véhicules électriques et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hybrides</w:t>
      </w:r>
      <w:proofErr w:type="gramEnd"/>
      <w:r w:rsidRPr="00FC06F7">
        <w:rPr>
          <w:rFonts w:eastAsia="Times New Roman" w:cs="Arial"/>
          <w:bCs w:val="0"/>
          <w:sz w:val="20"/>
          <w:lang w:eastAsia="fr-FR"/>
        </w:rPr>
        <w:t xml:space="preserve"> rechargeables acceptant le cordon mode 2 (compatibles mode 1)</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Raccordement à partir du tableau électrique par 1 ligne dédiée 3 x 2,5 mm</w:t>
      </w:r>
    </w:p>
    <w:p w:rsidR="00D276D1" w:rsidRPr="00FC06F7" w:rsidRDefault="00D276D1" w:rsidP="00D276D1">
      <w:pPr>
        <w:spacing w:after="0" w:line="240" w:lineRule="auto"/>
        <w:rPr>
          <w:rFonts w:eastAsia="Times New Roman" w:cs="Arial"/>
          <w:bCs w:val="0"/>
          <w:sz w:val="14"/>
          <w:szCs w:val="14"/>
          <w:lang w:eastAsia="fr-FR"/>
        </w:rPr>
      </w:pPr>
      <w:r w:rsidRPr="00FC06F7">
        <w:rPr>
          <w:rFonts w:eastAsia="Times New Roman" w:cs="Arial"/>
          <w:bCs w:val="0"/>
          <w:sz w:val="14"/>
          <w:szCs w:val="14"/>
          <w:lang w:eastAsia="fr-FR"/>
        </w:rPr>
        <w:t>2</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(1 ligne par prise) avec protection par disjoncteur différentiel </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20 A - courbe C - 30 mA - type </w:t>
      </w:r>
      <w:proofErr w:type="spellStart"/>
      <w:r w:rsidRPr="00FC06F7">
        <w:rPr>
          <w:rFonts w:eastAsia="Times New Roman" w:cs="Arial"/>
          <w:bCs w:val="0"/>
          <w:sz w:val="20"/>
          <w:lang w:eastAsia="fr-FR"/>
        </w:rPr>
        <w:t>HPi</w:t>
      </w:r>
      <w:proofErr w:type="spellEnd"/>
      <w:r w:rsidRPr="00FC06F7">
        <w:rPr>
          <w:rFonts w:eastAsia="Times New Roman" w:cs="Arial"/>
          <w:bCs w:val="0"/>
          <w:sz w:val="20"/>
          <w:lang w:eastAsia="fr-FR"/>
        </w:rPr>
        <w:t xml:space="preserve"> (ou interrupteur différentiel 30 mA -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type</w:t>
      </w:r>
      <w:proofErr w:type="gramEnd"/>
      <w:r w:rsidRPr="00FC06F7">
        <w:rPr>
          <w:rFonts w:eastAsia="Times New Roman" w:cs="Arial"/>
          <w:bCs w:val="0"/>
          <w:sz w:val="20"/>
          <w:lang w:eastAsia="fr-FR"/>
        </w:rPr>
        <w:t xml:space="preserve"> </w:t>
      </w:r>
      <w:proofErr w:type="spellStart"/>
      <w:r w:rsidRPr="00FC06F7">
        <w:rPr>
          <w:rFonts w:eastAsia="Times New Roman" w:cs="Arial"/>
          <w:bCs w:val="0"/>
          <w:sz w:val="20"/>
          <w:lang w:eastAsia="fr-FR"/>
        </w:rPr>
        <w:t>HPi</w:t>
      </w:r>
      <w:proofErr w:type="spellEnd"/>
      <w:r w:rsidRPr="00FC06F7">
        <w:rPr>
          <w:rFonts w:eastAsia="Times New Roman" w:cs="Arial"/>
          <w:bCs w:val="0"/>
          <w:sz w:val="20"/>
          <w:lang w:eastAsia="fr-FR"/>
        </w:rPr>
        <w:t xml:space="preserve"> + disjoncteur 20 A courbe C)</w:t>
      </w:r>
    </w:p>
    <w:p w:rsidR="00D276D1" w:rsidRDefault="00D276D1" w:rsidP="00D276D1">
      <w:pPr>
        <w:spacing w:after="0" w:line="240" w:lineRule="auto"/>
        <w:rPr>
          <w:rFonts w:eastAsia="Times New Roman" w:cs="Arial"/>
          <w:bCs w:val="0"/>
          <w:sz w:val="20"/>
          <w:lang w:eastAsia="fr-FR"/>
        </w:rPr>
      </w:pPr>
    </w:p>
    <w:p w:rsidR="00D276D1" w:rsidRPr="00D276D1" w:rsidRDefault="00D276D1" w:rsidP="00D276D1">
      <w:pPr>
        <w:pStyle w:val="Paragraphedeliste"/>
        <w:numPr>
          <w:ilvl w:val="0"/>
          <w:numId w:val="1"/>
        </w:numPr>
        <w:spacing w:after="0" w:line="240" w:lineRule="auto"/>
        <w:rPr>
          <w:rFonts w:eastAsia="Times New Roman" w:cs="Arial"/>
          <w:bCs w:val="0"/>
          <w:sz w:val="20"/>
          <w:lang w:eastAsia="fr-FR"/>
        </w:rPr>
      </w:pPr>
      <w:r w:rsidRPr="00D276D1">
        <w:rPr>
          <w:rFonts w:eastAsia="Times New Roman" w:cs="Arial"/>
          <w:bCs w:val="0"/>
          <w:sz w:val="20"/>
          <w:lang w:eastAsia="fr-FR"/>
        </w:rPr>
        <w:t xml:space="preserve">En plus du câble d'alimentation, option câble BUS réf. 0 492 31 possible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pour</w:t>
      </w:r>
      <w:proofErr w:type="gramEnd"/>
      <w:r w:rsidRPr="00FC06F7">
        <w:rPr>
          <w:rFonts w:eastAsia="Times New Roman" w:cs="Arial"/>
          <w:bCs w:val="0"/>
          <w:sz w:val="20"/>
          <w:lang w:eastAsia="fr-FR"/>
        </w:rPr>
        <w:t xml:space="preserve"> évolution vers la borne </w:t>
      </w:r>
      <w:proofErr w:type="spellStart"/>
      <w:r w:rsidRPr="00FC06F7">
        <w:rPr>
          <w:rFonts w:eastAsia="Times New Roman" w:cs="Arial"/>
          <w:bCs w:val="0"/>
          <w:sz w:val="20"/>
          <w:lang w:eastAsia="fr-FR"/>
        </w:rPr>
        <w:t>Green'up</w:t>
      </w:r>
      <w:proofErr w:type="spellEnd"/>
      <w:r w:rsidRPr="00FC06F7">
        <w:rPr>
          <w:rFonts w:eastAsia="Times New Roman" w:cs="Arial"/>
          <w:bCs w:val="0"/>
          <w:sz w:val="20"/>
          <w:lang w:eastAsia="fr-FR"/>
        </w:rPr>
        <w:t xml:space="preserve"> Premium communicante (full </w:t>
      </w:r>
      <w:proofErr w:type="spellStart"/>
      <w:r w:rsidRPr="00FC06F7">
        <w:rPr>
          <w:rFonts w:eastAsia="Times New Roman" w:cs="Arial"/>
          <w:bCs w:val="0"/>
          <w:sz w:val="20"/>
          <w:lang w:eastAsia="fr-FR"/>
        </w:rPr>
        <w:t>ready</w:t>
      </w:r>
      <w:proofErr w:type="spellEnd"/>
      <w:r w:rsidRPr="00FC06F7">
        <w:rPr>
          <w:rFonts w:eastAsia="Times New Roman" w:cs="Arial"/>
          <w:bCs w:val="0"/>
          <w:sz w:val="20"/>
          <w:lang w:eastAsia="fr-FR"/>
        </w:rPr>
        <w:t xml:space="preserve">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mode</w:t>
      </w:r>
      <w:proofErr w:type="gramEnd"/>
      <w:r w:rsidRPr="00FC06F7">
        <w:rPr>
          <w:rFonts w:eastAsia="Times New Roman" w:cs="Arial"/>
          <w:bCs w:val="0"/>
          <w:sz w:val="20"/>
          <w:lang w:eastAsia="fr-FR"/>
        </w:rPr>
        <w:t xml:space="preserve"> 3)</w:t>
      </w:r>
    </w:p>
    <w:p w:rsidR="00D276D1" w:rsidRPr="00D276D1" w:rsidRDefault="00D276D1" w:rsidP="00D276D1">
      <w:pPr>
        <w:pStyle w:val="Paragraphedeliste"/>
        <w:numPr>
          <w:ilvl w:val="0"/>
          <w:numId w:val="1"/>
        </w:numPr>
        <w:spacing w:after="0" w:line="240" w:lineRule="auto"/>
        <w:rPr>
          <w:rFonts w:eastAsia="Times New Roman" w:cs="Arial"/>
          <w:bCs w:val="0"/>
          <w:sz w:val="20"/>
          <w:lang w:eastAsia="fr-FR"/>
        </w:rPr>
      </w:pPr>
      <w:r w:rsidRPr="00D276D1">
        <w:rPr>
          <w:rFonts w:eastAsia="Times New Roman" w:cs="Arial"/>
          <w:bCs w:val="0"/>
          <w:sz w:val="20"/>
          <w:lang w:eastAsia="fr-FR"/>
        </w:rPr>
        <w:t>L’utilisation d’un parafoudre est recommandée</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Installation préconisée à 1,30 m du sol</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Convient dans les lieux de vie et lieux de travail</w:t>
      </w:r>
    </w:p>
    <w:p w:rsidR="00D276D1" w:rsidRDefault="00D276D1" w:rsidP="00D276D1">
      <w:pPr>
        <w:spacing w:after="0" w:line="240" w:lineRule="auto"/>
        <w:rPr>
          <w:rFonts w:eastAsia="Times New Roman" w:cs="Arial"/>
          <w:bCs w:val="0"/>
          <w:sz w:val="15"/>
          <w:szCs w:val="15"/>
          <w:lang w:eastAsia="fr-FR"/>
        </w:rPr>
      </w:pPr>
    </w:p>
    <w:p w:rsidR="00D276D1" w:rsidRPr="00D276D1" w:rsidRDefault="00D276D1" w:rsidP="00D276D1">
      <w:pPr>
        <w:pStyle w:val="Paragraphedeliste"/>
        <w:numPr>
          <w:ilvl w:val="0"/>
          <w:numId w:val="1"/>
        </w:numPr>
        <w:spacing w:after="0" w:line="240" w:lineRule="auto"/>
        <w:rPr>
          <w:rFonts w:eastAsia="Times New Roman" w:cs="Arial"/>
          <w:bCs w:val="0"/>
          <w:sz w:val="23"/>
          <w:szCs w:val="23"/>
          <w:lang w:eastAsia="fr-FR"/>
        </w:rPr>
      </w:pPr>
      <w:r w:rsidRPr="00D276D1">
        <w:rPr>
          <w:rFonts w:eastAsia="Times New Roman" w:cs="Arial"/>
          <w:bCs w:val="0"/>
          <w:sz w:val="23"/>
          <w:szCs w:val="23"/>
          <w:lang w:eastAsia="fr-FR"/>
        </w:rPr>
        <w:t xml:space="preserve">Prises murales 3,2 </w:t>
      </w:r>
      <w:proofErr w:type="spellStart"/>
      <w:r w:rsidRPr="00D276D1">
        <w:rPr>
          <w:rFonts w:eastAsia="Times New Roman" w:cs="Arial"/>
          <w:bCs w:val="0"/>
          <w:sz w:val="23"/>
          <w:szCs w:val="23"/>
          <w:lang w:eastAsia="fr-FR"/>
        </w:rPr>
        <w:t>kVA</w:t>
      </w:r>
      <w:proofErr w:type="spellEnd"/>
      <w:r w:rsidRPr="00D276D1">
        <w:rPr>
          <w:rFonts w:eastAsia="Times New Roman" w:cs="Arial"/>
          <w:bCs w:val="0"/>
          <w:sz w:val="23"/>
          <w:szCs w:val="23"/>
          <w:lang w:eastAsia="fr-FR"/>
        </w:rPr>
        <w:t xml:space="preserve"> - mode 2</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Munies d'un système de reconnaissance fiche/prise </w:t>
      </w:r>
    </w:p>
    <w:p w:rsidR="00D276D1" w:rsidRPr="00FC06F7" w:rsidRDefault="00D276D1" w:rsidP="00D276D1">
      <w:pPr>
        <w:spacing w:after="0" w:line="240" w:lineRule="auto"/>
        <w:rPr>
          <w:rFonts w:eastAsia="Times New Roman" w:cs="Arial"/>
          <w:bCs w:val="0"/>
          <w:sz w:val="20"/>
          <w:lang w:eastAsia="fr-FR"/>
        </w:rPr>
      </w:pPr>
      <w:proofErr w:type="spellStart"/>
      <w:r w:rsidRPr="00FC06F7">
        <w:rPr>
          <w:rFonts w:eastAsia="Times New Roman" w:cs="Arial"/>
          <w:bCs w:val="0"/>
          <w:sz w:val="20"/>
          <w:lang w:eastAsia="fr-FR"/>
        </w:rPr>
        <w:t>Green'up</w:t>
      </w:r>
      <w:proofErr w:type="spellEnd"/>
      <w:r w:rsidRPr="00FC06F7">
        <w:rPr>
          <w:rFonts w:eastAsia="Times New Roman" w:cs="Arial"/>
          <w:bCs w:val="0"/>
          <w:sz w:val="20"/>
          <w:lang w:eastAsia="fr-FR"/>
        </w:rPr>
        <w:t xml:space="preserve"> Access intégrée à la fiche permettant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le</w:t>
      </w:r>
      <w:proofErr w:type="gramEnd"/>
      <w:r w:rsidRPr="00FC06F7">
        <w:rPr>
          <w:rFonts w:eastAsia="Times New Roman" w:cs="Arial"/>
          <w:bCs w:val="0"/>
          <w:sz w:val="20"/>
          <w:lang w:eastAsia="fr-FR"/>
        </w:rPr>
        <w:t xml:space="preserve"> déclenchement de la puissance maximum et </w:t>
      </w:r>
    </w:p>
    <w:p w:rsidR="00D276D1" w:rsidRPr="00FC06F7" w:rsidRDefault="00D276D1" w:rsidP="00D276D1">
      <w:pPr>
        <w:spacing w:after="0" w:line="240" w:lineRule="auto"/>
        <w:rPr>
          <w:rFonts w:eastAsia="Times New Roman" w:cs="Arial"/>
          <w:bCs w:val="0"/>
          <w:sz w:val="20"/>
          <w:u w:val="single"/>
          <w:lang w:eastAsia="fr-FR"/>
        </w:rPr>
      </w:pPr>
      <w:proofErr w:type="gramStart"/>
      <w:r w:rsidRPr="00FC06F7">
        <w:rPr>
          <w:rFonts w:eastAsia="Times New Roman" w:cs="Arial"/>
          <w:bCs w:val="0"/>
          <w:sz w:val="20"/>
          <w:u w:val="single"/>
          <w:lang w:eastAsia="fr-FR"/>
        </w:rPr>
        <w:t>garantissant</w:t>
      </w:r>
      <w:proofErr w:type="gramEnd"/>
      <w:r w:rsidRPr="00FC06F7">
        <w:rPr>
          <w:rFonts w:eastAsia="Times New Roman" w:cs="Arial"/>
          <w:bCs w:val="0"/>
          <w:sz w:val="20"/>
          <w:u w:val="single"/>
          <w:lang w:eastAsia="fr-FR"/>
        </w:rPr>
        <w:t xml:space="preserve"> ainsi une recharge sécurisée et rapide </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Socles de prises 2P+T à </w:t>
      </w:r>
      <w:proofErr w:type="spellStart"/>
      <w:r w:rsidRPr="00FC06F7">
        <w:rPr>
          <w:rFonts w:eastAsia="Times New Roman" w:cs="Arial"/>
          <w:bCs w:val="0"/>
          <w:sz w:val="20"/>
          <w:lang w:eastAsia="fr-FR"/>
        </w:rPr>
        <w:t>éclips</w:t>
      </w:r>
      <w:proofErr w:type="spellEnd"/>
      <w:r w:rsidRPr="00FC06F7">
        <w:rPr>
          <w:rFonts w:eastAsia="Times New Roman" w:cs="Arial"/>
          <w:bCs w:val="0"/>
          <w:sz w:val="20"/>
          <w:lang w:eastAsia="fr-FR"/>
        </w:rPr>
        <w:t xml:space="preserve"> pour fiche 2P+T </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w:t>
      </w:r>
      <w:proofErr w:type="gramStart"/>
      <w:r w:rsidRPr="00FC06F7">
        <w:rPr>
          <w:rFonts w:eastAsia="Times New Roman" w:cs="Arial"/>
          <w:bCs w:val="0"/>
          <w:sz w:val="20"/>
          <w:lang w:eastAsia="fr-FR"/>
        </w:rPr>
        <w:t>mode</w:t>
      </w:r>
      <w:proofErr w:type="gramEnd"/>
      <w:r w:rsidRPr="00FC06F7">
        <w:rPr>
          <w:rFonts w:eastAsia="Times New Roman" w:cs="Arial"/>
          <w:bCs w:val="0"/>
          <w:sz w:val="20"/>
          <w:lang w:eastAsia="fr-FR"/>
        </w:rPr>
        <w:t xml:space="preserve"> 2)</w:t>
      </w:r>
    </w:p>
    <w:p w:rsidR="00D276D1"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Monophasées - raccordement à vis – 230 V</w:t>
      </w:r>
    </w:p>
    <w:p w:rsidR="00D276D1" w:rsidRPr="00FC06F7" w:rsidRDefault="00D276D1" w:rsidP="00D276D1">
      <w:pPr>
        <w:spacing w:after="0" w:line="240" w:lineRule="auto"/>
        <w:rPr>
          <w:rFonts w:eastAsia="Times New Roman" w:cs="Arial"/>
          <w:bCs w:val="0"/>
          <w:sz w:val="20"/>
          <w:lang w:eastAsia="fr-FR"/>
        </w:rPr>
      </w:pPr>
    </w:p>
    <w:p w:rsidR="00D276D1" w:rsidRPr="00FC06F7" w:rsidRDefault="00D276D1" w:rsidP="00D276D1">
      <w:pPr>
        <w:spacing w:after="0" w:line="240" w:lineRule="auto"/>
        <w:rPr>
          <w:rFonts w:eastAsia="Times New Roman" w:cs="Arial"/>
          <w:b/>
          <w:bCs w:val="0"/>
          <w:sz w:val="20"/>
          <w:u w:val="single"/>
          <w:lang w:eastAsia="fr-FR"/>
        </w:rPr>
      </w:pPr>
      <w:r w:rsidRPr="00FC06F7">
        <w:rPr>
          <w:rFonts w:eastAsia="Times New Roman" w:cs="Arial"/>
          <w:b/>
          <w:bCs w:val="0"/>
          <w:sz w:val="20"/>
          <w:u w:val="single"/>
          <w:lang w:eastAsia="fr-FR"/>
        </w:rPr>
        <w:t>IP 55 - IK 10 - fixation en encastré</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Convient pour une installation dans les lieux de vie </w:t>
      </w:r>
    </w:p>
    <w:p w:rsidR="00D276D1" w:rsidRPr="00FC06F7" w:rsidRDefault="00D276D1" w:rsidP="00D276D1">
      <w:pPr>
        <w:spacing w:after="0" w:line="240" w:lineRule="auto"/>
        <w:rPr>
          <w:rFonts w:eastAsia="Times New Roman" w:cs="Arial"/>
          <w:bCs w:val="0"/>
          <w:sz w:val="20"/>
          <w:lang w:eastAsia="fr-FR"/>
        </w:rPr>
      </w:pPr>
      <w:proofErr w:type="gramStart"/>
      <w:r w:rsidRPr="00FC06F7">
        <w:rPr>
          <w:rFonts w:eastAsia="Times New Roman" w:cs="Arial"/>
          <w:bCs w:val="0"/>
          <w:sz w:val="20"/>
          <w:lang w:eastAsia="fr-FR"/>
        </w:rPr>
        <w:t>de</w:t>
      </w:r>
      <w:proofErr w:type="gramEnd"/>
      <w:r w:rsidRPr="00FC06F7">
        <w:rPr>
          <w:rFonts w:eastAsia="Times New Roman" w:cs="Arial"/>
          <w:bCs w:val="0"/>
          <w:sz w:val="20"/>
          <w:lang w:eastAsia="fr-FR"/>
        </w:rPr>
        <w:t xml:space="preserve"> type maison individuelle, box, parkings collectifs...</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Pour recharge de 1 véhicule </w:t>
      </w:r>
    </w:p>
    <w:p w:rsidR="00D276D1" w:rsidRPr="00FC06F7" w:rsidRDefault="00D276D1" w:rsidP="00D276D1">
      <w:pPr>
        <w:spacing w:after="0" w:line="240" w:lineRule="auto"/>
        <w:rPr>
          <w:rFonts w:eastAsia="Times New Roman" w:cs="Arial"/>
          <w:bCs w:val="0"/>
          <w:sz w:val="20"/>
          <w:lang w:eastAsia="fr-FR"/>
        </w:rPr>
      </w:pPr>
      <w:r>
        <w:rPr>
          <w:rFonts w:eastAsia="Times New Roman" w:cs="Arial"/>
          <w:bCs w:val="0"/>
          <w:sz w:val="20"/>
          <w:lang w:eastAsia="fr-FR"/>
        </w:rPr>
        <w:t xml:space="preserve"> En m</w:t>
      </w:r>
      <w:r w:rsidRPr="00FC06F7">
        <w:rPr>
          <w:rFonts w:eastAsia="Times New Roman" w:cs="Arial"/>
          <w:bCs w:val="0"/>
          <w:sz w:val="20"/>
          <w:lang w:eastAsia="fr-FR"/>
        </w:rPr>
        <w:t>étal</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Livrée complète avec plaque et support</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 xml:space="preserve">Montage dans boîte d'encastrement </w:t>
      </w:r>
    </w:p>
    <w:p w:rsidR="00D276D1" w:rsidRPr="00FC06F7" w:rsidRDefault="00D276D1" w:rsidP="00D276D1">
      <w:pPr>
        <w:spacing w:after="0" w:line="240" w:lineRule="auto"/>
        <w:rPr>
          <w:rFonts w:eastAsia="Times New Roman" w:cs="Arial"/>
          <w:bCs w:val="0"/>
          <w:sz w:val="20"/>
          <w:lang w:eastAsia="fr-FR"/>
        </w:rPr>
      </w:pPr>
      <w:proofErr w:type="spellStart"/>
      <w:r w:rsidRPr="00FC06F7">
        <w:rPr>
          <w:rFonts w:eastAsia="Times New Roman" w:cs="Arial"/>
          <w:bCs w:val="0"/>
          <w:sz w:val="20"/>
          <w:lang w:eastAsia="fr-FR"/>
        </w:rPr>
        <w:t>Batibox</w:t>
      </w:r>
      <w:proofErr w:type="spellEnd"/>
      <w:r w:rsidRPr="00FC06F7">
        <w:rPr>
          <w:rFonts w:eastAsia="Times New Roman" w:cs="Arial"/>
          <w:bCs w:val="0"/>
          <w:sz w:val="20"/>
          <w:lang w:eastAsia="fr-FR"/>
        </w:rPr>
        <w:t xml:space="preserve"> 1 poste prof. 40 mm</w:t>
      </w:r>
    </w:p>
    <w:p w:rsidR="00D276D1" w:rsidRPr="00FC06F7"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Montage possible en saillie avec cadre réf. 0 778 90</w:t>
      </w:r>
    </w:p>
    <w:p w:rsidR="00D276D1" w:rsidRDefault="00D276D1" w:rsidP="00D276D1">
      <w:pPr>
        <w:spacing w:after="0" w:line="240" w:lineRule="auto"/>
        <w:rPr>
          <w:rFonts w:eastAsia="Times New Roman" w:cs="Arial"/>
          <w:bCs w:val="0"/>
          <w:sz w:val="20"/>
          <w:lang w:eastAsia="fr-FR"/>
        </w:rPr>
      </w:pPr>
      <w:r w:rsidRPr="00FC06F7">
        <w:rPr>
          <w:rFonts w:eastAsia="Times New Roman" w:cs="Arial"/>
          <w:bCs w:val="0"/>
          <w:sz w:val="20"/>
          <w:lang w:eastAsia="fr-FR"/>
        </w:rPr>
        <w:t>Dimensions (H x L x P) : 110 x 110 x 13,5 mm</w:t>
      </w:r>
    </w:p>
    <w:p w:rsidR="00D276D1" w:rsidRDefault="00D276D1" w:rsidP="00D276D1">
      <w:pPr>
        <w:spacing w:after="0" w:line="240" w:lineRule="auto"/>
        <w:rPr>
          <w:rFonts w:eastAsia="Times New Roman" w:cs="Arial"/>
          <w:bCs w:val="0"/>
          <w:sz w:val="20"/>
          <w:lang w:eastAsia="fr-FR"/>
        </w:rPr>
      </w:pPr>
    </w:p>
    <w:p w:rsidR="00D276D1" w:rsidRPr="00D276D1" w:rsidRDefault="00D276D1" w:rsidP="00D276D1">
      <w:pPr>
        <w:spacing w:after="0" w:line="240" w:lineRule="auto"/>
        <w:rPr>
          <w:rFonts w:eastAsia="Times New Roman" w:cs="Arial"/>
          <w:bCs w:val="0"/>
          <w:sz w:val="28"/>
          <w:szCs w:val="28"/>
          <w:lang w:eastAsia="fr-FR"/>
        </w:rPr>
      </w:pPr>
      <w:r w:rsidRPr="00D276D1">
        <w:rPr>
          <w:rFonts w:eastAsia="Times New Roman" w:cs="Arial"/>
          <w:bCs w:val="0"/>
          <w:sz w:val="28"/>
          <w:szCs w:val="28"/>
          <w:lang w:eastAsia="fr-FR"/>
        </w:rPr>
        <w:t xml:space="preserve">PRISE </w:t>
      </w:r>
      <w:r>
        <w:rPr>
          <w:rFonts w:eastAsia="Times New Roman" w:cs="Arial"/>
          <w:bCs w:val="0"/>
          <w:sz w:val="28"/>
          <w:szCs w:val="28"/>
          <w:lang w:eastAsia="fr-FR"/>
        </w:rPr>
        <w:t xml:space="preserve"> </w:t>
      </w:r>
      <w:r w:rsidRPr="00D276D1">
        <w:rPr>
          <w:rFonts w:eastAsia="Times New Roman" w:cs="Arial"/>
          <w:bCs w:val="0"/>
          <w:sz w:val="28"/>
          <w:szCs w:val="28"/>
          <w:lang w:eastAsia="fr-FR"/>
        </w:rPr>
        <w:t>VERROUILLABLE</w:t>
      </w:r>
      <w:r>
        <w:rPr>
          <w:rFonts w:eastAsia="Times New Roman" w:cs="Arial"/>
          <w:bCs w:val="0"/>
          <w:sz w:val="28"/>
          <w:szCs w:val="28"/>
          <w:lang w:eastAsia="fr-FR"/>
        </w:rPr>
        <w:t xml:space="preserve"> </w:t>
      </w:r>
      <w:r w:rsidRPr="00D276D1">
        <w:rPr>
          <w:rFonts w:eastAsia="Times New Roman" w:cs="Arial"/>
          <w:bCs w:val="0"/>
          <w:sz w:val="28"/>
          <w:szCs w:val="28"/>
          <w:lang w:eastAsia="fr-FR"/>
        </w:rPr>
        <w:t>pour un accès contrôlé</w:t>
      </w:r>
    </w:p>
    <w:p w:rsidR="00D276D1" w:rsidRPr="00D276D1" w:rsidRDefault="00D276D1" w:rsidP="00D276D1">
      <w:pPr>
        <w:spacing w:after="0" w:line="240" w:lineRule="auto"/>
        <w:rPr>
          <w:rFonts w:eastAsia="Times New Roman" w:cs="Arial"/>
          <w:bCs w:val="0"/>
          <w:szCs w:val="24"/>
          <w:lang w:eastAsia="fr-FR"/>
        </w:rPr>
      </w:pPr>
      <w:r w:rsidRPr="00D276D1">
        <w:rPr>
          <w:rFonts w:eastAsia="Times New Roman" w:cs="Arial"/>
          <w:bCs w:val="0"/>
          <w:szCs w:val="24"/>
          <w:lang w:eastAsia="fr-FR"/>
        </w:rPr>
        <w:t xml:space="preserve">Parfaitement adaptée pour les immeubles d’habitation, </w:t>
      </w:r>
    </w:p>
    <w:p w:rsidR="00D276D1" w:rsidRPr="00D276D1" w:rsidRDefault="00D276D1" w:rsidP="00D276D1">
      <w:pPr>
        <w:spacing w:after="0" w:line="240" w:lineRule="auto"/>
        <w:rPr>
          <w:rFonts w:eastAsia="Times New Roman" w:cs="Arial"/>
          <w:bCs w:val="0"/>
          <w:szCs w:val="24"/>
          <w:lang w:eastAsia="fr-FR"/>
        </w:rPr>
      </w:pPr>
      <w:proofErr w:type="gramStart"/>
      <w:r w:rsidRPr="00D276D1">
        <w:rPr>
          <w:rFonts w:eastAsia="Times New Roman" w:cs="Arial"/>
          <w:bCs w:val="0"/>
          <w:szCs w:val="24"/>
          <w:lang w:eastAsia="fr-FR"/>
        </w:rPr>
        <w:t>parkings</w:t>
      </w:r>
      <w:proofErr w:type="gramEnd"/>
      <w:r w:rsidRPr="00D276D1">
        <w:rPr>
          <w:rFonts w:eastAsia="Times New Roman" w:cs="Arial"/>
          <w:bCs w:val="0"/>
          <w:szCs w:val="24"/>
          <w:lang w:eastAsia="fr-FR"/>
        </w:rPr>
        <w:t xml:space="preserve"> collectifs... Livrée avec un jeu unique de 2 clés </w:t>
      </w:r>
    </w:p>
    <w:p w:rsidR="00D276D1" w:rsidRDefault="00D276D1" w:rsidP="00D276D1">
      <w:pPr>
        <w:spacing w:after="0" w:line="240" w:lineRule="auto"/>
        <w:rPr>
          <w:rFonts w:eastAsia="Times New Roman" w:cs="Arial"/>
          <w:bCs w:val="0"/>
          <w:szCs w:val="24"/>
          <w:lang w:eastAsia="fr-FR"/>
        </w:rPr>
      </w:pPr>
      <w:proofErr w:type="gramStart"/>
      <w:r w:rsidRPr="00D276D1">
        <w:rPr>
          <w:rFonts w:eastAsia="Times New Roman" w:cs="Arial"/>
          <w:bCs w:val="0"/>
          <w:szCs w:val="24"/>
          <w:lang w:eastAsia="fr-FR"/>
        </w:rPr>
        <w:t>pour</w:t>
      </w:r>
      <w:proofErr w:type="gramEnd"/>
      <w:r w:rsidRPr="00D276D1">
        <w:rPr>
          <w:rFonts w:eastAsia="Times New Roman" w:cs="Arial"/>
          <w:bCs w:val="0"/>
          <w:szCs w:val="24"/>
          <w:lang w:eastAsia="fr-FR"/>
        </w:rPr>
        <w:t xml:space="preserve"> verrouiller le volet et sécuriser l’accès à la prise</w:t>
      </w:r>
    </w:p>
    <w:p w:rsidR="00D276D1" w:rsidRDefault="00D276D1" w:rsidP="00D276D1">
      <w:pPr>
        <w:spacing w:after="0" w:line="240" w:lineRule="auto"/>
        <w:rPr>
          <w:rFonts w:eastAsia="Times New Roman" w:cs="Arial"/>
          <w:bCs w:val="0"/>
          <w:szCs w:val="24"/>
          <w:lang w:eastAsia="fr-FR"/>
        </w:rPr>
      </w:pPr>
    </w:p>
    <w:p w:rsidR="00D276D1" w:rsidRDefault="00D276D1" w:rsidP="00D276D1">
      <w:pPr>
        <w:spacing w:after="0" w:line="240" w:lineRule="auto"/>
        <w:rPr>
          <w:rFonts w:eastAsia="Times New Roman" w:cs="Arial"/>
          <w:bCs w:val="0"/>
          <w:szCs w:val="24"/>
          <w:lang w:eastAsia="fr-FR"/>
        </w:rPr>
      </w:pPr>
      <w:r>
        <w:rPr>
          <w:noProof/>
          <w:lang w:eastAsia="fr-FR"/>
        </w:rPr>
        <w:lastRenderedPageBreak/>
        <w:drawing>
          <wp:inline distT="0" distB="0" distL="0" distR="0">
            <wp:extent cx="2439265" cy="2303362"/>
            <wp:effectExtent l="0" t="0" r="0" b="1905"/>
            <wp:docPr id="1" name="Image 1"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40552" cy="2304577"/>
                    </a:xfrm>
                    <a:prstGeom prst="rect">
                      <a:avLst/>
                    </a:prstGeom>
                    <a:noFill/>
                    <a:ln>
                      <a:noFill/>
                    </a:ln>
                  </pic:spPr>
                </pic:pic>
              </a:graphicData>
            </a:graphic>
          </wp:inline>
        </w:drawing>
      </w:r>
    </w:p>
    <w:p w:rsidR="00D276D1" w:rsidRPr="00D276D1" w:rsidRDefault="00D276D1" w:rsidP="00D276D1">
      <w:pPr>
        <w:spacing w:after="0" w:line="240" w:lineRule="auto"/>
        <w:rPr>
          <w:rFonts w:eastAsia="Times New Roman" w:cs="Arial"/>
          <w:bCs w:val="0"/>
          <w:szCs w:val="24"/>
          <w:lang w:eastAsia="fr-FR"/>
        </w:rPr>
      </w:pPr>
      <w:r w:rsidRPr="00D276D1">
        <w:t xml:space="preserve"> </w:t>
      </w:r>
    </w:p>
    <w:p w:rsidR="00D276D1" w:rsidRPr="00FC06F7" w:rsidRDefault="00D276D1" w:rsidP="00D276D1">
      <w:pPr>
        <w:spacing w:after="0" w:line="240" w:lineRule="auto"/>
        <w:rPr>
          <w:rFonts w:eastAsia="Times New Roman" w:cs="Arial"/>
          <w:bCs w:val="0"/>
          <w:sz w:val="20"/>
          <w:lang w:eastAsia="fr-FR"/>
        </w:rPr>
      </w:pPr>
    </w:p>
    <w:p w:rsidR="00D276D1" w:rsidRDefault="00D276D1" w:rsidP="00D276D1">
      <w:pPr>
        <w:pStyle w:val="Titre2"/>
      </w:pPr>
      <w:r>
        <w:t>PRISE GREEN'UP ACCESS POUR BOX OU PARKING COLLECTIF</w:t>
      </w:r>
    </w:p>
    <w:p w:rsidR="00D276D1" w:rsidRDefault="00D276D1" w:rsidP="00D276D1">
      <w:pPr>
        <w:pStyle w:val="NormalWeb"/>
      </w:pPr>
      <w:r>
        <w:t xml:space="preserve">Prise murale encastrée pour recharge quotidienne en toute sécurité des véhicules électriques livrés en mode 2 (véhicules légers et hybrides 1ère génération). IP 55 – </w:t>
      </w:r>
      <w:hyperlink r:id="rId7" w:history="1">
        <w:r>
          <w:rPr>
            <w:rStyle w:val="Lienhypertexte"/>
          </w:rPr>
          <w:t>IK 10</w:t>
        </w:r>
      </w:hyperlink>
      <w:r>
        <w:t>, métal, socle de prise 2 P+T à éclipse, 3,2 kW monophasée, livrée avec une patère permettant la suspension du boîtier du cordon de recharge du véhicule électrique. Convient pour une installation dans les lieux de vie de type box ou parking d'immeubles d'habitations.</w:t>
      </w:r>
    </w:p>
    <w:p w:rsidR="00D276D1" w:rsidRDefault="00D276D1" w:rsidP="00D276D1">
      <w:pPr>
        <w:pStyle w:val="NormalWeb"/>
      </w:pPr>
      <w:r>
        <w:t xml:space="preserve">Existe en version volet verrouillé par jeu unique de 2 clés permettant de limiter l’accès à la prise. Les </w:t>
      </w:r>
      <w:hyperlink r:id="rId8" w:history="1">
        <w:r>
          <w:rPr>
            <w:rStyle w:val="Lienhypertexte"/>
          </w:rPr>
          <w:t xml:space="preserve">prises </w:t>
        </w:r>
        <w:proofErr w:type="spellStart"/>
        <w:r>
          <w:rPr>
            <w:rStyle w:val="Lienhypertexte"/>
          </w:rPr>
          <w:t>Green’up</w:t>
        </w:r>
        <w:proofErr w:type="spellEnd"/>
      </w:hyperlink>
      <w:r>
        <w:t xml:space="preserve"> Access sont livrées avec une patère permettant la suspension du boîtier du cordon de recharge du véhicule électrique.</w:t>
      </w:r>
    </w:p>
    <w:p w:rsidR="00D276D1" w:rsidRDefault="00D276D1" w:rsidP="00D276D1">
      <w:pPr>
        <w:pStyle w:val="NormalWeb"/>
      </w:pPr>
      <w:r>
        <w:t xml:space="preserve">L’innovation </w:t>
      </w:r>
      <w:proofErr w:type="spellStart"/>
      <w:r>
        <w:t>Green’up</w:t>
      </w:r>
      <w:proofErr w:type="spellEnd"/>
      <w:r>
        <w:t xml:space="preserve"> System, technologie du Groupe Legrand, permet le déclenchement de la puissance maximum et la recharge sécurisée et rapide.</w:t>
      </w:r>
    </w:p>
    <w:p w:rsidR="00D276D1" w:rsidRDefault="00D276D1" w:rsidP="00D276D1">
      <w:pPr>
        <w:pStyle w:val="Titre3"/>
      </w:pPr>
      <w:r>
        <w:t>Raccordement</w:t>
      </w:r>
    </w:p>
    <w:p w:rsidR="00D276D1" w:rsidRDefault="00D276D1" w:rsidP="00D276D1">
      <w:pPr>
        <w:pStyle w:val="NormalWeb"/>
      </w:pPr>
      <w:r>
        <w:t>Nécessite une ligne dédiée par prise avec protection par disjoncteur différentiel 30 mA – 20 A.</w:t>
      </w:r>
    </w:p>
    <w:p w:rsidR="00A20F99" w:rsidRDefault="00A20F99"/>
    <w:sectPr w:rsidR="00A20F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676A3"/>
    <w:multiLevelType w:val="hybridMultilevel"/>
    <w:tmpl w:val="140C6B00"/>
    <w:lvl w:ilvl="0" w:tplc="0882D640">
      <w:start w:val="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6D1"/>
    <w:rsid w:val="00390244"/>
    <w:rsid w:val="00A20F99"/>
    <w:rsid w:val="00CC2739"/>
    <w:rsid w:val="00D276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bCs/>
        <w:sz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6D1"/>
  </w:style>
  <w:style w:type="paragraph" w:styleId="Titre2">
    <w:name w:val="heading 2"/>
    <w:basedOn w:val="Normal"/>
    <w:link w:val="Titre2Car"/>
    <w:uiPriority w:val="9"/>
    <w:qFormat/>
    <w:rsid w:val="00D276D1"/>
    <w:pPr>
      <w:spacing w:before="100" w:beforeAutospacing="1" w:after="100" w:afterAutospacing="1" w:line="240" w:lineRule="auto"/>
      <w:outlineLvl w:val="1"/>
    </w:pPr>
    <w:rPr>
      <w:rFonts w:ascii="Times New Roman" w:eastAsia="Times New Roman" w:hAnsi="Times New Roman"/>
      <w:b/>
      <w:sz w:val="36"/>
      <w:szCs w:val="36"/>
      <w:lang w:eastAsia="fr-FR"/>
    </w:rPr>
  </w:style>
  <w:style w:type="paragraph" w:styleId="Titre3">
    <w:name w:val="heading 3"/>
    <w:basedOn w:val="Normal"/>
    <w:next w:val="Normal"/>
    <w:link w:val="Titre3Car"/>
    <w:uiPriority w:val="9"/>
    <w:semiHidden/>
    <w:unhideWhenUsed/>
    <w:qFormat/>
    <w:rsid w:val="00D276D1"/>
    <w:pPr>
      <w:keepNext/>
      <w:keepLines/>
      <w:spacing w:before="200" w:after="0"/>
      <w:outlineLvl w:val="2"/>
    </w:pPr>
    <w:rPr>
      <w:rFonts w:asciiTheme="majorHAnsi" w:eastAsiaTheme="majorEastAsia" w:hAnsiTheme="majorHAnsi" w:cstheme="majorBidi"/>
      <w:b/>
      <w:bCs w:val="0"/>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76D1"/>
    <w:pPr>
      <w:ind w:left="720"/>
      <w:contextualSpacing/>
    </w:pPr>
  </w:style>
  <w:style w:type="paragraph" w:styleId="Textedebulles">
    <w:name w:val="Balloon Text"/>
    <w:basedOn w:val="Normal"/>
    <w:link w:val="TextedebullesCar"/>
    <w:uiPriority w:val="99"/>
    <w:semiHidden/>
    <w:unhideWhenUsed/>
    <w:rsid w:val="00D276D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276D1"/>
    <w:rPr>
      <w:rFonts w:ascii="Tahoma" w:hAnsi="Tahoma" w:cs="Tahoma"/>
      <w:sz w:val="16"/>
      <w:szCs w:val="16"/>
    </w:rPr>
  </w:style>
  <w:style w:type="character" w:customStyle="1" w:styleId="Titre2Car">
    <w:name w:val="Titre 2 Car"/>
    <w:basedOn w:val="Policepardfaut"/>
    <w:link w:val="Titre2"/>
    <w:uiPriority w:val="9"/>
    <w:rsid w:val="00D276D1"/>
    <w:rPr>
      <w:rFonts w:ascii="Times New Roman" w:eastAsia="Times New Roman" w:hAnsi="Times New Roman"/>
      <w:b/>
      <w:sz w:val="36"/>
      <w:szCs w:val="36"/>
      <w:lang w:eastAsia="fr-FR"/>
    </w:rPr>
  </w:style>
  <w:style w:type="paragraph" w:styleId="NormalWeb">
    <w:name w:val="Normal (Web)"/>
    <w:basedOn w:val="Normal"/>
    <w:uiPriority w:val="99"/>
    <w:semiHidden/>
    <w:unhideWhenUsed/>
    <w:rsid w:val="00D276D1"/>
    <w:pPr>
      <w:spacing w:before="100" w:beforeAutospacing="1" w:after="100" w:afterAutospacing="1" w:line="240" w:lineRule="auto"/>
    </w:pPr>
    <w:rPr>
      <w:rFonts w:ascii="Times New Roman" w:eastAsia="Times New Roman" w:hAnsi="Times New Roman"/>
      <w:bCs w:val="0"/>
      <w:szCs w:val="24"/>
      <w:lang w:eastAsia="fr-FR"/>
    </w:rPr>
  </w:style>
  <w:style w:type="character" w:customStyle="1" w:styleId="Titre3Car">
    <w:name w:val="Titre 3 Car"/>
    <w:basedOn w:val="Policepardfaut"/>
    <w:link w:val="Titre3"/>
    <w:uiPriority w:val="9"/>
    <w:semiHidden/>
    <w:rsid w:val="00D276D1"/>
    <w:rPr>
      <w:rFonts w:asciiTheme="majorHAnsi" w:eastAsiaTheme="majorEastAsia" w:hAnsiTheme="majorHAnsi" w:cstheme="majorBidi"/>
      <w:b/>
      <w:bCs w:val="0"/>
      <w:color w:val="4F81BD" w:themeColor="accent1"/>
    </w:rPr>
  </w:style>
  <w:style w:type="character" w:styleId="Lienhypertexte">
    <w:name w:val="Hyperlink"/>
    <w:basedOn w:val="Policepardfaut"/>
    <w:uiPriority w:val="99"/>
    <w:semiHidden/>
    <w:unhideWhenUsed/>
    <w:rsid w:val="00D276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bCs/>
        <w:sz w:val="24"/>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6D1"/>
  </w:style>
  <w:style w:type="paragraph" w:styleId="Titre2">
    <w:name w:val="heading 2"/>
    <w:basedOn w:val="Normal"/>
    <w:link w:val="Titre2Car"/>
    <w:uiPriority w:val="9"/>
    <w:qFormat/>
    <w:rsid w:val="00D276D1"/>
    <w:pPr>
      <w:spacing w:before="100" w:beforeAutospacing="1" w:after="100" w:afterAutospacing="1" w:line="240" w:lineRule="auto"/>
      <w:outlineLvl w:val="1"/>
    </w:pPr>
    <w:rPr>
      <w:rFonts w:ascii="Times New Roman" w:eastAsia="Times New Roman" w:hAnsi="Times New Roman"/>
      <w:b/>
      <w:sz w:val="36"/>
      <w:szCs w:val="36"/>
      <w:lang w:eastAsia="fr-FR"/>
    </w:rPr>
  </w:style>
  <w:style w:type="paragraph" w:styleId="Titre3">
    <w:name w:val="heading 3"/>
    <w:basedOn w:val="Normal"/>
    <w:next w:val="Normal"/>
    <w:link w:val="Titre3Car"/>
    <w:uiPriority w:val="9"/>
    <w:semiHidden/>
    <w:unhideWhenUsed/>
    <w:qFormat/>
    <w:rsid w:val="00D276D1"/>
    <w:pPr>
      <w:keepNext/>
      <w:keepLines/>
      <w:spacing w:before="200" w:after="0"/>
      <w:outlineLvl w:val="2"/>
    </w:pPr>
    <w:rPr>
      <w:rFonts w:asciiTheme="majorHAnsi" w:eastAsiaTheme="majorEastAsia" w:hAnsiTheme="majorHAnsi" w:cstheme="majorBidi"/>
      <w:b/>
      <w:bCs w:val="0"/>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276D1"/>
    <w:pPr>
      <w:ind w:left="720"/>
      <w:contextualSpacing/>
    </w:pPr>
  </w:style>
  <w:style w:type="paragraph" w:styleId="Textedebulles">
    <w:name w:val="Balloon Text"/>
    <w:basedOn w:val="Normal"/>
    <w:link w:val="TextedebullesCar"/>
    <w:uiPriority w:val="99"/>
    <w:semiHidden/>
    <w:unhideWhenUsed/>
    <w:rsid w:val="00D276D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276D1"/>
    <w:rPr>
      <w:rFonts w:ascii="Tahoma" w:hAnsi="Tahoma" w:cs="Tahoma"/>
      <w:sz w:val="16"/>
      <w:szCs w:val="16"/>
    </w:rPr>
  </w:style>
  <w:style w:type="character" w:customStyle="1" w:styleId="Titre2Car">
    <w:name w:val="Titre 2 Car"/>
    <w:basedOn w:val="Policepardfaut"/>
    <w:link w:val="Titre2"/>
    <w:uiPriority w:val="9"/>
    <w:rsid w:val="00D276D1"/>
    <w:rPr>
      <w:rFonts w:ascii="Times New Roman" w:eastAsia="Times New Roman" w:hAnsi="Times New Roman"/>
      <w:b/>
      <w:sz w:val="36"/>
      <w:szCs w:val="36"/>
      <w:lang w:eastAsia="fr-FR"/>
    </w:rPr>
  </w:style>
  <w:style w:type="paragraph" w:styleId="NormalWeb">
    <w:name w:val="Normal (Web)"/>
    <w:basedOn w:val="Normal"/>
    <w:uiPriority w:val="99"/>
    <w:semiHidden/>
    <w:unhideWhenUsed/>
    <w:rsid w:val="00D276D1"/>
    <w:pPr>
      <w:spacing w:before="100" w:beforeAutospacing="1" w:after="100" w:afterAutospacing="1" w:line="240" w:lineRule="auto"/>
    </w:pPr>
    <w:rPr>
      <w:rFonts w:ascii="Times New Roman" w:eastAsia="Times New Roman" w:hAnsi="Times New Roman"/>
      <w:bCs w:val="0"/>
      <w:szCs w:val="24"/>
      <w:lang w:eastAsia="fr-FR"/>
    </w:rPr>
  </w:style>
  <w:style w:type="character" w:customStyle="1" w:styleId="Titre3Car">
    <w:name w:val="Titre 3 Car"/>
    <w:basedOn w:val="Policepardfaut"/>
    <w:link w:val="Titre3"/>
    <w:uiPriority w:val="9"/>
    <w:semiHidden/>
    <w:rsid w:val="00D276D1"/>
    <w:rPr>
      <w:rFonts w:asciiTheme="majorHAnsi" w:eastAsiaTheme="majorEastAsia" w:hAnsiTheme="majorHAnsi" w:cstheme="majorBidi"/>
      <w:b/>
      <w:bCs w:val="0"/>
      <w:color w:val="4F81BD" w:themeColor="accent1"/>
    </w:rPr>
  </w:style>
  <w:style w:type="character" w:styleId="Lienhypertexte">
    <w:name w:val="Hyperlink"/>
    <w:basedOn w:val="Policepardfaut"/>
    <w:uiPriority w:val="99"/>
    <w:semiHidden/>
    <w:unhideWhenUsed/>
    <w:rsid w:val="00D276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5981">
      <w:bodyDiv w:val="1"/>
      <w:marLeft w:val="0"/>
      <w:marRight w:val="0"/>
      <w:marTop w:val="0"/>
      <w:marBottom w:val="0"/>
      <w:divBdr>
        <w:top w:val="none" w:sz="0" w:space="0" w:color="auto"/>
        <w:left w:val="none" w:sz="0" w:space="0" w:color="auto"/>
        <w:bottom w:val="none" w:sz="0" w:space="0" w:color="auto"/>
        <w:right w:val="none" w:sz="0" w:space="0" w:color="auto"/>
      </w:divBdr>
      <w:divsChild>
        <w:div w:id="1188061127">
          <w:marLeft w:val="0"/>
          <w:marRight w:val="0"/>
          <w:marTop w:val="0"/>
          <w:marBottom w:val="0"/>
          <w:divBdr>
            <w:top w:val="none" w:sz="0" w:space="0" w:color="auto"/>
            <w:left w:val="none" w:sz="0" w:space="0" w:color="auto"/>
            <w:bottom w:val="none" w:sz="0" w:space="0" w:color="auto"/>
            <w:right w:val="none" w:sz="0" w:space="0" w:color="auto"/>
          </w:divBdr>
        </w:div>
      </w:divsChild>
    </w:div>
    <w:div w:id="569535063">
      <w:bodyDiv w:val="1"/>
      <w:marLeft w:val="0"/>
      <w:marRight w:val="0"/>
      <w:marTop w:val="0"/>
      <w:marBottom w:val="0"/>
      <w:divBdr>
        <w:top w:val="none" w:sz="0" w:space="0" w:color="auto"/>
        <w:left w:val="none" w:sz="0" w:space="0" w:color="auto"/>
        <w:bottom w:val="none" w:sz="0" w:space="0" w:color="auto"/>
        <w:right w:val="none" w:sz="0" w:space="0" w:color="auto"/>
      </w:divBdr>
      <w:divsChild>
        <w:div w:id="1638101775">
          <w:marLeft w:val="0"/>
          <w:marRight w:val="0"/>
          <w:marTop w:val="0"/>
          <w:marBottom w:val="0"/>
          <w:divBdr>
            <w:top w:val="none" w:sz="0" w:space="0" w:color="auto"/>
            <w:left w:val="none" w:sz="0" w:space="0" w:color="auto"/>
            <w:bottom w:val="none" w:sz="0" w:space="0" w:color="auto"/>
            <w:right w:val="none" w:sz="0" w:space="0" w:color="auto"/>
          </w:divBdr>
          <w:divsChild>
            <w:div w:id="1183932991">
              <w:marLeft w:val="0"/>
              <w:marRight w:val="0"/>
              <w:marTop w:val="0"/>
              <w:marBottom w:val="0"/>
              <w:divBdr>
                <w:top w:val="none" w:sz="0" w:space="0" w:color="auto"/>
                <w:left w:val="none" w:sz="0" w:space="0" w:color="auto"/>
                <w:bottom w:val="none" w:sz="0" w:space="0" w:color="auto"/>
                <w:right w:val="none" w:sz="0" w:space="0" w:color="auto"/>
              </w:divBdr>
            </w:div>
            <w:div w:id="872117533">
              <w:marLeft w:val="0"/>
              <w:marRight w:val="0"/>
              <w:marTop w:val="0"/>
              <w:marBottom w:val="0"/>
              <w:divBdr>
                <w:top w:val="none" w:sz="0" w:space="0" w:color="auto"/>
                <w:left w:val="none" w:sz="0" w:space="0" w:color="auto"/>
                <w:bottom w:val="none" w:sz="0" w:space="0" w:color="auto"/>
                <w:right w:val="none" w:sz="0" w:space="0" w:color="auto"/>
              </w:divBdr>
            </w:div>
            <w:div w:id="1946691098">
              <w:marLeft w:val="0"/>
              <w:marRight w:val="0"/>
              <w:marTop w:val="0"/>
              <w:marBottom w:val="0"/>
              <w:divBdr>
                <w:top w:val="none" w:sz="0" w:space="0" w:color="auto"/>
                <w:left w:val="none" w:sz="0" w:space="0" w:color="auto"/>
                <w:bottom w:val="none" w:sz="0" w:space="0" w:color="auto"/>
                <w:right w:val="none" w:sz="0" w:space="0" w:color="auto"/>
              </w:divBdr>
            </w:div>
            <w:div w:id="1225802027">
              <w:marLeft w:val="0"/>
              <w:marRight w:val="0"/>
              <w:marTop w:val="0"/>
              <w:marBottom w:val="0"/>
              <w:divBdr>
                <w:top w:val="none" w:sz="0" w:space="0" w:color="auto"/>
                <w:left w:val="none" w:sz="0" w:space="0" w:color="auto"/>
                <w:bottom w:val="none" w:sz="0" w:space="0" w:color="auto"/>
                <w:right w:val="none" w:sz="0" w:space="0" w:color="auto"/>
              </w:divBdr>
            </w:div>
            <w:div w:id="894856061">
              <w:marLeft w:val="0"/>
              <w:marRight w:val="0"/>
              <w:marTop w:val="0"/>
              <w:marBottom w:val="0"/>
              <w:divBdr>
                <w:top w:val="none" w:sz="0" w:space="0" w:color="auto"/>
                <w:left w:val="none" w:sz="0" w:space="0" w:color="auto"/>
                <w:bottom w:val="none" w:sz="0" w:space="0" w:color="auto"/>
                <w:right w:val="none" w:sz="0" w:space="0" w:color="auto"/>
              </w:divBdr>
            </w:div>
            <w:div w:id="930695850">
              <w:marLeft w:val="0"/>
              <w:marRight w:val="0"/>
              <w:marTop w:val="0"/>
              <w:marBottom w:val="0"/>
              <w:divBdr>
                <w:top w:val="none" w:sz="0" w:space="0" w:color="auto"/>
                <w:left w:val="none" w:sz="0" w:space="0" w:color="auto"/>
                <w:bottom w:val="none" w:sz="0" w:space="0" w:color="auto"/>
                <w:right w:val="none" w:sz="0" w:space="0" w:color="auto"/>
              </w:divBdr>
            </w:div>
            <w:div w:id="1920014531">
              <w:marLeft w:val="0"/>
              <w:marRight w:val="0"/>
              <w:marTop w:val="0"/>
              <w:marBottom w:val="0"/>
              <w:divBdr>
                <w:top w:val="none" w:sz="0" w:space="0" w:color="auto"/>
                <w:left w:val="none" w:sz="0" w:space="0" w:color="auto"/>
                <w:bottom w:val="none" w:sz="0" w:space="0" w:color="auto"/>
                <w:right w:val="none" w:sz="0" w:space="0" w:color="auto"/>
              </w:divBdr>
            </w:div>
            <w:div w:id="39406357">
              <w:marLeft w:val="0"/>
              <w:marRight w:val="0"/>
              <w:marTop w:val="0"/>
              <w:marBottom w:val="0"/>
              <w:divBdr>
                <w:top w:val="none" w:sz="0" w:space="0" w:color="auto"/>
                <w:left w:val="none" w:sz="0" w:space="0" w:color="auto"/>
                <w:bottom w:val="none" w:sz="0" w:space="0" w:color="auto"/>
                <w:right w:val="none" w:sz="0" w:space="0" w:color="auto"/>
              </w:divBdr>
            </w:div>
            <w:div w:id="344210934">
              <w:marLeft w:val="0"/>
              <w:marRight w:val="0"/>
              <w:marTop w:val="0"/>
              <w:marBottom w:val="0"/>
              <w:divBdr>
                <w:top w:val="none" w:sz="0" w:space="0" w:color="auto"/>
                <w:left w:val="none" w:sz="0" w:space="0" w:color="auto"/>
                <w:bottom w:val="none" w:sz="0" w:space="0" w:color="auto"/>
                <w:right w:val="none" w:sz="0" w:space="0" w:color="auto"/>
              </w:divBdr>
            </w:div>
            <w:div w:id="374617793">
              <w:marLeft w:val="0"/>
              <w:marRight w:val="0"/>
              <w:marTop w:val="0"/>
              <w:marBottom w:val="0"/>
              <w:divBdr>
                <w:top w:val="none" w:sz="0" w:space="0" w:color="auto"/>
                <w:left w:val="none" w:sz="0" w:space="0" w:color="auto"/>
                <w:bottom w:val="none" w:sz="0" w:space="0" w:color="auto"/>
                <w:right w:val="none" w:sz="0" w:space="0" w:color="auto"/>
              </w:divBdr>
            </w:div>
            <w:div w:id="472408044">
              <w:marLeft w:val="0"/>
              <w:marRight w:val="0"/>
              <w:marTop w:val="0"/>
              <w:marBottom w:val="0"/>
              <w:divBdr>
                <w:top w:val="none" w:sz="0" w:space="0" w:color="auto"/>
                <w:left w:val="none" w:sz="0" w:space="0" w:color="auto"/>
                <w:bottom w:val="none" w:sz="0" w:space="0" w:color="auto"/>
                <w:right w:val="none" w:sz="0" w:space="0" w:color="auto"/>
              </w:divBdr>
            </w:div>
            <w:div w:id="378474862">
              <w:marLeft w:val="0"/>
              <w:marRight w:val="0"/>
              <w:marTop w:val="0"/>
              <w:marBottom w:val="0"/>
              <w:divBdr>
                <w:top w:val="none" w:sz="0" w:space="0" w:color="auto"/>
                <w:left w:val="none" w:sz="0" w:space="0" w:color="auto"/>
                <w:bottom w:val="none" w:sz="0" w:space="0" w:color="auto"/>
                <w:right w:val="none" w:sz="0" w:space="0" w:color="auto"/>
              </w:divBdr>
            </w:div>
            <w:div w:id="1171066796">
              <w:marLeft w:val="0"/>
              <w:marRight w:val="0"/>
              <w:marTop w:val="0"/>
              <w:marBottom w:val="0"/>
              <w:divBdr>
                <w:top w:val="none" w:sz="0" w:space="0" w:color="auto"/>
                <w:left w:val="none" w:sz="0" w:space="0" w:color="auto"/>
                <w:bottom w:val="none" w:sz="0" w:space="0" w:color="auto"/>
                <w:right w:val="none" w:sz="0" w:space="0" w:color="auto"/>
              </w:divBdr>
            </w:div>
            <w:div w:id="1283539160">
              <w:marLeft w:val="0"/>
              <w:marRight w:val="0"/>
              <w:marTop w:val="0"/>
              <w:marBottom w:val="0"/>
              <w:divBdr>
                <w:top w:val="none" w:sz="0" w:space="0" w:color="auto"/>
                <w:left w:val="none" w:sz="0" w:space="0" w:color="auto"/>
                <w:bottom w:val="none" w:sz="0" w:space="0" w:color="auto"/>
                <w:right w:val="none" w:sz="0" w:space="0" w:color="auto"/>
              </w:divBdr>
            </w:div>
            <w:div w:id="1127704389">
              <w:marLeft w:val="0"/>
              <w:marRight w:val="0"/>
              <w:marTop w:val="0"/>
              <w:marBottom w:val="0"/>
              <w:divBdr>
                <w:top w:val="none" w:sz="0" w:space="0" w:color="auto"/>
                <w:left w:val="none" w:sz="0" w:space="0" w:color="auto"/>
                <w:bottom w:val="none" w:sz="0" w:space="0" w:color="auto"/>
                <w:right w:val="none" w:sz="0" w:space="0" w:color="auto"/>
              </w:divBdr>
            </w:div>
            <w:div w:id="1776049648">
              <w:marLeft w:val="0"/>
              <w:marRight w:val="0"/>
              <w:marTop w:val="0"/>
              <w:marBottom w:val="0"/>
              <w:divBdr>
                <w:top w:val="none" w:sz="0" w:space="0" w:color="auto"/>
                <w:left w:val="none" w:sz="0" w:space="0" w:color="auto"/>
                <w:bottom w:val="none" w:sz="0" w:space="0" w:color="auto"/>
                <w:right w:val="none" w:sz="0" w:space="0" w:color="auto"/>
              </w:divBdr>
            </w:div>
            <w:div w:id="1905874239">
              <w:marLeft w:val="0"/>
              <w:marRight w:val="0"/>
              <w:marTop w:val="0"/>
              <w:marBottom w:val="0"/>
              <w:divBdr>
                <w:top w:val="none" w:sz="0" w:space="0" w:color="auto"/>
                <w:left w:val="none" w:sz="0" w:space="0" w:color="auto"/>
                <w:bottom w:val="none" w:sz="0" w:space="0" w:color="auto"/>
                <w:right w:val="none" w:sz="0" w:space="0" w:color="auto"/>
              </w:divBdr>
            </w:div>
            <w:div w:id="1685202798">
              <w:marLeft w:val="0"/>
              <w:marRight w:val="0"/>
              <w:marTop w:val="0"/>
              <w:marBottom w:val="0"/>
              <w:divBdr>
                <w:top w:val="none" w:sz="0" w:space="0" w:color="auto"/>
                <w:left w:val="none" w:sz="0" w:space="0" w:color="auto"/>
                <w:bottom w:val="none" w:sz="0" w:space="0" w:color="auto"/>
                <w:right w:val="none" w:sz="0" w:space="0" w:color="auto"/>
              </w:divBdr>
            </w:div>
            <w:div w:id="852378141">
              <w:marLeft w:val="0"/>
              <w:marRight w:val="0"/>
              <w:marTop w:val="0"/>
              <w:marBottom w:val="0"/>
              <w:divBdr>
                <w:top w:val="none" w:sz="0" w:space="0" w:color="auto"/>
                <w:left w:val="none" w:sz="0" w:space="0" w:color="auto"/>
                <w:bottom w:val="none" w:sz="0" w:space="0" w:color="auto"/>
                <w:right w:val="none" w:sz="0" w:space="0" w:color="auto"/>
              </w:divBdr>
            </w:div>
            <w:div w:id="1550650601">
              <w:marLeft w:val="0"/>
              <w:marRight w:val="0"/>
              <w:marTop w:val="0"/>
              <w:marBottom w:val="0"/>
              <w:divBdr>
                <w:top w:val="none" w:sz="0" w:space="0" w:color="auto"/>
                <w:left w:val="none" w:sz="0" w:space="0" w:color="auto"/>
                <w:bottom w:val="none" w:sz="0" w:space="0" w:color="auto"/>
                <w:right w:val="none" w:sz="0" w:space="0" w:color="auto"/>
              </w:divBdr>
            </w:div>
            <w:div w:id="1310134618">
              <w:marLeft w:val="0"/>
              <w:marRight w:val="0"/>
              <w:marTop w:val="0"/>
              <w:marBottom w:val="0"/>
              <w:divBdr>
                <w:top w:val="none" w:sz="0" w:space="0" w:color="auto"/>
                <w:left w:val="none" w:sz="0" w:space="0" w:color="auto"/>
                <w:bottom w:val="none" w:sz="0" w:space="0" w:color="auto"/>
                <w:right w:val="none" w:sz="0" w:space="0" w:color="auto"/>
              </w:divBdr>
            </w:div>
            <w:div w:id="1035080491">
              <w:marLeft w:val="0"/>
              <w:marRight w:val="0"/>
              <w:marTop w:val="0"/>
              <w:marBottom w:val="0"/>
              <w:divBdr>
                <w:top w:val="none" w:sz="0" w:space="0" w:color="auto"/>
                <w:left w:val="none" w:sz="0" w:space="0" w:color="auto"/>
                <w:bottom w:val="none" w:sz="0" w:space="0" w:color="auto"/>
                <w:right w:val="none" w:sz="0" w:space="0" w:color="auto"/>
              </w:divBdr>
            </w:div>
            <w:div w:id="1769621593">
              <w:marLeft w:val="0"/>
              <w:marRight w:val="0"/>
              <w:marTop w:val="0"/>
              <w:marBottom w:val="0"/>
              <w:divBdr>
                <w:top w:val="none" w:sz="0" w:space="0" w:color="auto"/>
                <w:left w:val="none" w:sz="0" w:space="0" w:color="auto"/>
                <w:bottom w:val="none" w:sz="0" w:space="0" w:color="auto"/>
                <w:right w:val="none" w:sz="0" w:space="0" w:color="auto"/>
              </w:divBdr>
            </w:div>
            <w:div w:id="157040838">
              <w:marLeft w:val="0"/>
              <w:marRight w:val="0"/>
              <w:marTop w:val="0"/>
              <w:marBottom w:val="0"/>
              <w:divBdr>
                <w:top w:val="none" w:sz="0" w:space="0" w:color="auto"/>
                <w:left w:val="none" w:sz="0" w:space="0" w:color="auto"/>
                <w:bottom w:val="none" w:sz="0" w:space="0" w:color="auto"/>
                <w:right w:val="none" w:sz="0" w:space="0" w:color="auto"/>
              </w:divBdr>
            </w:div>
            <w:div w:id="340592826">
              <w:marLeft w:val="0"/>
              <w:marRight w:val="0"/>
              <w:marTop w:val="0"/>
              <w:marBottom w:val="0"/>
              <w:divBdr>
                <w:top w:val="none" w:sz="0" w:space="0" w:color="auto"/>
                <w:left w:val="none" w:sz="0" w:space="0" w:color="auto"/>
                <w:bottom w:val="none" w:sz="0" w:space="0" w:color="auto"/>
                <w:right w:val="none" w:sz="0" w:space="0" w:color="auto"/>
              </w:divBdr>
            </w:div>
            <w:div w:id="168185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57754">
      <w:bodyDiv w:val="1"/>
      <w:marLeft w:val="0"/>
      <w:marRight w:val="0"/>
      <w:marTop w:val="0"/>
      <w:marBottom w:val="0"/>
      <w:divBdr>
        <w:top w:val="none" w:sz="0" w:space="0" w:color="auto"/>
        <w:left w:val="none" w:sz="0" w:space="0" w:color="auto"/>
        <w:bottom w:val="none" w:sz="0" w:space="0" w:color="auto"/>
        <w:right w:val="none" w:sz="0" w:space="0" w:color="auto"/>
      </w:divBdr>
      <w:divsChild>
        <w:div w:id="810369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rand.fr/professionnels/cabler-mesurer-afficher-identifier-piloter-alimenter_3203.html" TargetMode="External"/><Relationship Id="rId3" Type="http://schemas.microsoft.com/office/2007/relationships/stylesWithEffects" Target="stylesWithEffects.xml"/><Relationship Id="rId7" Type="http://schemas.openxmlformats.org/officeDocument/2006/relationships/hyperlink" Target="http://www.legrand.fr/professionnels/performance-robustesse-adapte-aux-exigences-les-plus-severes_214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531</Words>
  <Characters>2923</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DTSI</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UPS</dc:creator>
  <cp:lastModifiedBy>UPS</cp:lastModifiedBy>
  <cp:revision>2</cp:revision>
  <cp:lastPrinted>2015-12-07T14:51:00Z</cp:lastPrinted>
  <dcterms:created xsi:type="dcterms:W3CDTF">2015-12-07T15:08:00Z</dcterms:created>
  <dcterms:modified xsi:type="dcterms:W3CDTF">2015-12-07T15:08:00Z</dcterms:modified>
</cp:coreProperties>
</file>