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3"/>
        <w:gridCol w:w="3770"/>
        <w:gridCol w:w="1931"/>
        <w:gridCol w:w="2758"/>
      </w:tblGrid>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lang w:eastAsia="fr-FR"/>
              </w:rPr>
              <w:t>Rang</w:t>
            </w:r>
          </w:p>
        </w:tc>
        <w:tc>
          <w:tcPr>
            <w:tcW w:w="20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lang w:eastAsia="fr-FR"/>
              </w:rPr>
              <w:t>Constructeur</w:t>
            </w:r>
          </w:p>
        </w:tc>
        <w:tc>
          <w:tcPr>
            <w:tcW w:w="10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lang w:eastAsia="fr-FR"/>
              </w:rPr>
              <w:t>Véhicules contrôlés</w:t>
            </w:r>
            <w:r w:rsidRPr="00FC23B9">
              <w:rPr>
                <w:rFonts w:ascii="Times New Roman" w:eastAsia="Times New Roman" w:hAnsi="Times New Roman" w:cs="Times New Roman"/>
                <w:b w:val="0"/>
                <w:lang w:eastAsia="fr-FR"/>
              </w:rPr>
              <w:br/>
              <w:t>toute période</w:t>
            </w:r>
          </w:p>
        </w:tc>
        <w:tc>
          <w:tcPr>
            <w:tcW w:w="150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lang w:eastAsia="fr-FR"/>
              </w:rPr>
              <w:t>Moyenne pondérée</w:t>
            </w:r>
            <w:r w:rsidRPr="00FC23B9">
              <w:rPr>
                <w:rFonts w:ascii="Times New Roman" w:eastAsia="Times New Roman" w:hAnsi="Times New Roman" w:cs="Times New Roman"/>
                <w:b w:val="0"/>
                <w:lang w:eastAsia="fr-FR"/>
              </w:rPr>
              <w:br/>
              <w:t>toute période</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bookmarkStart w:id="0" w:name="_GoBack"/>
            <w:r w:rsidRPr="00FC23B9">
              <w:rPr>
                <w:rFonts w:ascii="Times New Roman" w:eastAsia="Times New Roman" w:hAnsi="Times New Roman" w:cs="Times New Roman"/>
                <w:lang w:eastAsia="fr-FR"/>
              </w:rPr>
              <w:t>1</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LEXUS</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6 682</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8,06%</w:t>
            </w:r>
          </w:p>
        </w:tc>
      </w:tr>
      <w:bookmarkEnd w:id="0"/>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2</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TOYOTA</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421 928</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9,54%</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3</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DAIHATSU</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6 933</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11,41%</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4</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SUZUKI</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124 774</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11,58%</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5</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DACIA</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95 850</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11,93%</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6</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JAGUAR</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15 481</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12,56%</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7</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KIA</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52 483</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13,62%</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8</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SMART</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38 047</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13,70%</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9</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LOTUS</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1 787</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13,71%</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10</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HONDA</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79 211</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13,89%</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11</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MERCEDES BENZ</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402 848</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14,15%</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12</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MAZDA</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66 513</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14,35%</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13</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AUDI</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361 054</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14,78%</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14</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NISSAN</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233 395</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15,48%</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15</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SUBARU</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9 453</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15,98%</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16</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HYUNDAI</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103 843</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16,24%</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17</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LAND ROVER</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45 002</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16,26%</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18</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SKODA</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64 191</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16,28%</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19</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SAAB</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17 837</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16,67%</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20</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MITSUBISHI</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45 258</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16,85%</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21</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CITROEN</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2 055 843</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17,08%</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22</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BMW</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346 211</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17,43%</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23</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VOLKSWAGEN</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952 825</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18,27%</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24</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VOLVO</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68 481</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18,89%</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25</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JEEP</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24 735</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19,13%</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26</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CHEVROLET</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34 627</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19,19%</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27</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SEAT</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226 572</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19,34%</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28</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FORD</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693 815</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19,35%</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29</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DODGE</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4 556</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19,80%</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30</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PEUGEOT</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3 023 989</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19,83%</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31</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OPEL</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637 352</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20,32%</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32</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LANCIA</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25 549</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21,15%</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33</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RENAULT</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3 948 410</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21,51%</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34</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ALFA ROMEO</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89 076</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23,37%</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35</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FIAT</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413 867</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24,01%</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36</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SSANGYONG</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9 339</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27,13%</w:t>
            </w:r>
          </w:p>
        </w:tc>
      </w:tr>
      <w:tr w:rsidR="00FC23B9" w:rsidRPr="00FC23B9" w:rsidTr="00FC23B9">
        <w:trPr>
          <w:tblCellSpacing w:w="0" w:type="dxa"/>
        </w:trPr>
        <w:tc>
          <w:tcPr>
            <w:tcW w:w="3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37</w:t>
            </w:r>
          </w:p>
        </w:tc>
        <w:tc>
          <w:tcPr>
            <w:tcW w:w="2050" w:type="pct"/>
            <w:tcBorders>
              <w:top w:val="outset" w:sz="6" w:space="0" w:color="auto"/>
              <w:left w:val="outset" w:sz="6" w:space="0" w:color="auto"/>
              <w:bottom w:val="outset" w:sz="6" w:space="0" w:color="auto"/>
              <w:right w:val="outset" w:sz="6" w:space="0" w:color="auto"/>
            </w:tcBorders>
            <w:shd w:val="clear" w:color="auto" w:fill="auto"/>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LADA</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7 096</w:t>
            </w:r>
          </w:p>
        </w:tc>
        <w:tc>
          <w:tcPr>
            <w:tcW w:w="15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37,50%</w:t>
            </w:r>
          </w:p>
        </w:tc>
      </w:tr>
    </w:tbl>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 xml:space="preserve">La première conclusion, assez frappante au regard de ce classement, est </w:t>
      </w:r>
      <w:r w:rsidRPr="00FC23B9">
        <w:rPr>
          <w:rFonts w:ascii="Times New Roman" w:eastAsia="Times New Roman" w:hAnsi="Times New Roman" w:cs="Times New Roman"/>
          <w:lang w:eastAsia="fr-FR"/>
        </w:rPr>
        <w:t>la performance des marques japonaises </w:t>
      </w:r>
      <w:r w:rsidRPr="00FC23B9">
        <w:rPr>
          <w:rFonts w:ascii="Times New Roman" w:eastAsia="Times New Roman" w:hAnsi="Times New Roman" w:cs="Times New Roman"/>
          <w:b w:val="0"/>
          <w:bCs w:val="0"/>
          <w:lang w:eastAsia="fr-FR"/>
        </w:rPr>
        <w:t xml:space="preserve">: Lexus, Toyota et </w:t>
      </w:r>
      <w:proofErr w:type="spellStart"/>
      <w:r w:rsidRPr="00FC23B9">
        <w:rPr>
          <w:rFonts w:ascii="Times New Roman" w:eastAsia="Times New Roman" w:hAnsi="Times New Roman" w:cs="Times New Roman"/>
          <w:b w:val="0"/>
          <w:bCs w:val="0"/>
          <w:lang w:eastAsia="fr-FR"/>
        </w:rPr>
        <w:t>Daihatsu</w:t>
      </w:r>
      <w:proofErr w:type="spellEnd"/>
      <w:r w:rsidRPr="00FC23B9">
        <w:rPr>
          <w:rFonts w:ascii="Times New Roman" w:eastAsia="Times New Roman" w:hAnsi="Times New Roman" w:cs="Times New Roman"/>
          <w:b w:val="0"/>
          <w:bCs w:val="0"/>
          <w:lang w:eastAsia="fr-FR"/>
        </w:rPr>
        <w:t xml:space="preserve"> dominent ce palmarès, suivis de près par Suzuki, japonais également.</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 xml:space="preserve">La cinquième position, occupée par Dacia, pourrait laisser penser qu’il s’agit d’une bonne performance de la marque low-cost de Renault. Ce n’est pourtant pas le cas : Dacia est </w:t>
      </w:r>
      <w:r w:rsidRPr="00FC23B9">
        <w:rPr>
          <w:rFonts w:ascii="Times New Roman" w:eastAsia="Times New Roman" w:hAnsi="Times New Roman" w:cs="Times New Roman"/>
          <w:b w:val="0"/>
          <w:bCs w:val="0"/>
          <w:lang w:eastAsia="fr-FR"/>
        </w:rPr>
        <w:lastRenderedPageBreak/>
        <w:t>avantagé, car il s’agit d’une marque récente. Le parc de véhicules Dacia contrôlés est donc plus jeune que chez les autres constructeurs : la marque n’a pas encore de véhicules âgés de 10 ans et plus (catégorie dont le taux de contre-visites est le plus élevé). In fine, Dacia obtient des résultats médiocres sur les catégories d’âges où la marque est présente.</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Autre élément important dans ce classement : les constructeurs allemands, réputés pour la fiabilité de leurs véhicules, obtiennent des résultats corrects, mais loin de leurs homologues japonais. À titre d’exemple, le taux de contre-visites moyen obtenu par Volkswagen (18,27%) est presque deux fois plus élevé que chez Toyota (9,54%). Sur le segment Premium, Lexus (marque Premium de Toyota), devance de loin les marques allemandes, avec un taux de contre-visites de 8,06%, contre 14,15% pour Mercedes-Benz et 17,43% pour BMW.</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Nous remarquons également que Citroën (17,08%) enregistre de meilleurs résultats que son concurrent allemand Volkswagen (18,27%).</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 xml:space="preserve">En fin de palmarès, la marque italienne FIAT fait figure de mauvais élève, avec un taux de contre-visites de 24,01%, suivie par le constructeur sud-coréen </w:t>
      </w:r>
      <w:proofErr w:type="spellStart"/>
      <w:r w:rsidRPr="00FC23B9">
        <w:rPr>
          <w:rFonts w:ascii="Times New Roman" w:eastAsia="Times New Roman" w:hAnsi="Times New Roman" w:cs="Times New Roman"/>
          <w:b w:val="0"/>
          <w:bCs w:val="0"/>
          <w:lang w:eastAsia="fr-FR"/>
        </w:rPr>
        <w:t>SsangYong</w:t>
      </w:r>
      <w:proofErr w:type="spellEnd"/>
      <w:r w:rsidRPr="00FC23B9">
        <w:rPr>
          <w:rFonts w:ascii="Times New Roman" w:eastAsia="Times New Roman" w:hAnsi="Times New Roman" w:cs="Times New Roman"/>
          <w:b w:val="0"/>
          <w:bCs w:val="0"/>
          <w:lang w:eastAsia="fr-FR"/>
        </w:rPr>
        <w:t xml:space="preserve"> (27,13%). Bon dernier de ce classement, le constructeur russe Lada enregistre un taux de contre-visites gigantesque (37,50%).</w:t>
      </w:r>
    </w:p>
    <w:p w:rsidR="00FC23B9" w:rsidRPr="00FC23B9" w:rsidRDefault="00FC23B9" w:rsidP="00FC23B9">
      <w:pPr>
        <w:spacing w:before="100" w:beforeAutospacing="1" w:after="100" w:afterAutospacing="1" w:line="240" w:lineRule="auto"/>
        <w:jc w:val="both"/>
        <w:outlineLvl w:val="1"/>
        <w:rPr>
          <w:rFonts w:ascii="Times New Roman" w:eastAsia="Times New Roman" w:hAnsi="Times New Roman" w:cs="Times New Roman"/>
          <w:sz w:val="36"/>
          <w:szCs w:val="36"/>
          <w:lang w:eastAsia="fr-FR"/>
        </w:rPr>
      </w:pPr>
      <w:r w:rsidRPr="00FC23B9">
        <w:rPr>
          <w:rFonts w:ascii="Times New Roman" w:eastAsia="Times New Roman" w:hAnsi="Times New Roman" w:cs="Times New Roman"/>
          <w:sz w:val="36"/>
          <w:szCs w:val="36"/>
          <w:lang w:eastAsia="fr-FR"/>
        </w:rPr>
        <w:t>Palmarès des plus gros constructeurs</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Ce palmarès concerne les quinze constructeurs ayant le plus de véhicules en circulation, toutes périodes confondues. Ces quinze constructeurs représentent à eux seuls près de 94% du parc total des véhicules contrôlés en France.</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7"/>
        <w:gridCol w:w="3616"/>
        <w:gridCol w:w="1943"/>
        <w:gridCol w:w="2966"/>
      </w:tblGrid>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Rang</w:t>
            </w:r>
          </w:p>
        </w:tc>
        <w:tc>
          <w:tcPr>
            <w:tcW w:w="19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Constructeur</w:t>
            </w:r>
          </w:p>
        </w:tc>
        <w:tc>
          <w:tcPr>
            <w:tcW w:w="10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Véhicules</w:t>
            </w:r>
          </w:p>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contrôlés</w:t>
            </w:r>
          </w:p>
        </w:tc>
        <w:tc>
          <w:tcPr>
            <w:tcW w:w="160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Taux de contre-visites</w:t>
            </w:r>
          </w:p>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(Moyenne pondérée)</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w:t>
            </w:r>
          </w:p>
        </w:tc>
        <w:tc>
          <w:tcPr>
            <w:tcW w:w="19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TOYOTA</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421 928</w:t>
            </w:r>
          </w:p>
        </w:tc>
        <w:tc>
          <w:tcPr>
            <w:tcW w:w="16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9,54%</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2</w:t>
            </w:r>
          </w:p>
        </w:tc>
        <w:tc>
          <w:tcPr>
            <w:tcW w:w="19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SUZUKI</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124 774</w:t>
            </w:r>
          </w:p>
        </w:tc>
        <w:tc>
          <w:tcPr>
            <w:tcW w:w="16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11,58%</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3</w:t>
            </w:r>
          </w:p>
        </w:tc>
        <w:tc>
          <w:tcPr>
            <w:tcW w:w="19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MERCEDES BENZ</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402 848</w:t>
            </w:r>
          </w:p>
        </w:tc>
        <w:tc>
          <w:tcPr>
            <w:tcW w:w="16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14,15%</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4</w:t>
            </w:r>
          </w:p>
        </w:tc>
        <w:tc>
          <w:tcPr>
            <w:tcW w:w="19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AUDI</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361 054</w:t>
            </w:r>
          </w:p>
        </w:tc>
        <w:tc>
          <w:tcPr>
            <w:tcW w:w="16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14,78%</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5</w:t>
            </w:r>
          </w:p>
        </w:tc>
        <w:tc>
          <w:tcPr>
            <w:tcW w:w="19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NISSAN</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233 395</w:t>
            </w:r>
          </w:p>
        </w:tc>
        <w:tc>
          <w:tcPr>
            <w:tcW w:w="16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15,48%</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6</w:t>
            </w:r>
          </w:p>
        </w:tc>
        <w:tc>
          <w:tcPr>
            <w:tcW w:w="19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HYUNDAI</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103 843</w:t>
            </w:r>
          </w:p>
        </w:tc>
        <w:tc>
          <w:tcPr>
            <w:tcW w:w="16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16,24%</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7</w:t>
            </w:r>
          </w:p>
        </w:tc>
        <w:tc>
          <w:tcPr>
            <w:tcW w:w="19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CITROEN</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2 055 843</w:t>
            </w:r>
          </w:p>
        </w:tc>
        <w:tc>
          <w:tcPr>
            <w:tcW w:w="16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17,08%</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8</w:t>
            </w:r>
          </w:p>
        </w:tc>
        <w:tc>
          <w:tcPr>
            <w:tcW w:w="19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BMW</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346 211</w:t>
            </w:r>
          </w:p>
        </w:tc>
        <w:tc>
          <w:tcPr>
            <w:tcW w:w="16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17,43%</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9</w:t>
            </w:r>
          </w:p>
        </w:tc>
        <w:tc>
          <w:tcPr>
            <w:tcW w:w="19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VOLKSWAGEN</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952 825</w:t>
            </w:r>
          </w:p>
        </w:tc>
        <w:tc>
          <w:tcPr>
            <w:tcW w:w="16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18,27%</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10</w:t>
            </w:r>
          </w:p>
        </w:tc>
        <w:tc>
          <w:tcPr>
            <w:tcW w:w="19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SEAT</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226 572</w:t>
            </w:r>
          </w:p>
        </w:tc>
        <w:tc>
          <w:tcPr>
            <w:tcW w:w="16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19,34%</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11</w:t>
            </w:r>
          </w:p>
        </w:tc>
        <w:tc>
          <w:tcPr>
            <w:tcW w:w="19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FORD</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693 815</w:t>
            </w:r>
          </w:p>
        </w:tc>
        <w:tc>
          <w:tcPr>
            <w:tcW w:w="16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19,35%</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12</w:t>
            </w:r>
          </w:p>
        </w:tc>
        <w:tc>
          <w:tcPr>
            <w:tcW w:w="19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PEUGEOT</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3 023 989</w:t>
            </w:r>
          </w:p>
        </w:tc>
        <w:tc>
          <w:tcPr>
            <w:tcW w:w="16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19,83%</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13</w:t>
            </w:r>
          </w:p>
        </w:tc>
        <w:tc>
          <w:tcPr>
            <w:tcW w:w="19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OPEL</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637 352</w:t>
            </w:r>
          </w:p>
        </w:tc>
        <w:tc>
          <w:tcPr>
            <w:tcW w:w="16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20,32%</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14</w:t>
            </w:r>
          </w:p>
        </w:tc>
        <w:tc>
          <w:tcPr>
            <w:tcW w:w="19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RENAULT</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3 948 410</w:t>
            </w:r>
          </w:p>
        </w:tc>
        <w:tc>
          <w:tcPr>
            <w:tcW w:w="16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21,51%</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15</w:t>
            </w:r>
          </w:p>
        </w:tc>
        <w:tc>
          <w:tcPr>
            <w:tcW w:w="195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FIAT</w:t>
            </w:r>
          </w:p>
        </w:tc>
        <w:tc>
          <w:tcPr>
            <w:tcW w:w="105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413 867</w:t>
            </w:r>
          </w:p>
        </w:tc>
        <w:tc>
          <w:tcPr>
            <w:tcW w:w="16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center"/>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24,01%</w:t>
            </w:r>
          </w:p>
        </w:tc>
      </w:tr>
    </w:tbl>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Parmi les constructeurs les plus performants, on retrouve Toyota, avec un taux de contre-visites de 9,54% seulement. C’est le seul constructeur parmi ce Top 15 sous la barre des 10% de contre-visites.</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lastRenderedPageBreak/>
        <w:t>Nous retrouvons également Suzuki, avec un taux de contre-visites de 11,58%, suivi par Mercedes Benz (14,15%). Les constructeurs japonais devancent clairement les autres marques, puisque les taux de contre-visite de Toyota et Suzuki montrent clairement une rupture avec ceux des autres constructeurs.</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 xml:space="preserve">Les marques allemandes « premium » </w:t>
      </w:r>
      <w:proofErr w:type="spellStart"/>
      <w:r w:rsidRPr="00FC23B9">
        <w:rPr>
          <w:rFonts w:ascii="Times New Roman" w:eastAsia="Times New Roman" w:hAnsi="Times New Roman" w:cs="Times New Roman"/>
          <w:b w:val="0"/>
          <w:bCs w:val="0"/>
          <w:lang w:eastAsia="fr-FR"/>
        </w:rPr>
        <w:t>Mercedez</w:t>
      </w:r>
      <w:proofErr w:type="spellEnd"/>
      <w:r w:rsidRPr="00FC23B9">
        <w:rPr>
          <w:rFonts w:ascii="Times New Roman" w:eastAsia="Times New Roman" w:hAnsi="Times New Roman" w:cs="Times New Roman"/>
          <w:b w:val="0"/>
          <w:bCs w:val="0"/>
          <w:lang w:eastAsia="fr-FR"/>
        </w:rPr>
        <w:t xml:space="preserve"> Benz et Audi se positionnent en haut du classement, suivies de près par Nissan, un autre constructeur japonais.</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En fin de classement, le constructeur allemand Opel obtient un taux de contre-visites de 20,32%, suivi par Renault (21,51%) et enfin Fiat, qui obtient les plus mauvais résultats de ce classement, avec 24,01% de contre-visites, soit près d’une voiture contrôlée sur quatre.</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À noter que Peugeot, avec un taux de contre-visites de 19,83%, se situe en dessous de la moyenne nationale (19,63%).</w:t>
      </w:r>
    </w:p>
    <w:p w:rsidR="00FC23B9" w:rsidRPr="00FC23B9" w:rsidRDefault="00FC23B9" w:rsidP="00FC23B9">
      <w:pPr>
        <w:spacing w:before="100" w:beforeAutospacing="1" w:after="100" w:afterAutospacing="1" w:line="240" w:lineRule="auto"/>
        <w:jc w:val="both"/>
        <w:outlineLvl w:val="1"/>
        <w:rPr>
          <w:rFonts w:ascii="Times New Roman" w:eastAsia="Times New Roman" w:hAnsi="Times New Roman" w:cs="Times New Roman"/>
          <w:sz w:val="36"/>
          <w:szCs w:val="36"/>
          <w:lang w:eastAsia="fr-FR"/>
        </w:rPr>
      </w:pPr>
      <w:r w:rsidRPr="00FC23B9">
        <w:rPr>
          <w:rFonts w:ascii="Times New Roman" w:eastAsia="Times New Roman" w:hAnsi="Times New Roman" w:cs="Times New Roman"/>
          <w:sz w:val="36"/>
          <w:szCs w:val="36"/>
          <w:lang w:eastAsia="fr-FR"/>
        </w:rPr>
        <w:t>Palmarès des meilleures progressions</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Ce palmarès, qui établit la progression des constructeurs vis-à-vis du taux de contre-visites, est basé sur un indice que nous avons calculé. Cet indice se base sur les taux de contre-visites récents (5 ans et moins), par rapport aux taux de contre-visites moyens pondérés, toutes périodes confondues. Il prend en compte les quinze principaux constructeurs automobiles.</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L’objectif de ce palmarès est de faire la lumière sur les constructeurs qui ont le plus progressé sur les 5 dernières années.</w:t>
      </w:r>
    </w:p>
    <w:tbl>
      <w:tblPr>
        <w:tblW w:w="495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7"/>
        <w:gridCol w:w="3395"/>
        <w:gridCol w:w="2010"/>
        <w:gridCol w:w="3029"/>
      </w:tblGrid>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Rang</w:t>
            </w:r>
          </w:p>
        </w:tc>
        <w:tc>
          <w:tcPr>
            <w:tcW w:w="19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Constructeur</w:t>
            </w:r>
          </w:p>
        </w:tc>
        <w:tc>
          <w:tcPr>
            <w:tcW w:w="100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 xml:space="preserve">Véhicules contrôlés </w:t>
            </w:r>
          </w:p>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toute période</w:t>
            </w:r>
          </w:p>
        </w:tc>
        <w:tc>
          <w:tcPr>
            <w:tcW w:w="1700" w:type="pct"/>
            <w:tcBorders>
              <w:top w:val="outset" w:sz="6" w:space="0" w:color="auto"/>
              <w:left w:val="outset" w:sz="6" w:space="0" w:color="auto"/>
              <w:bottom w:val="outset" w:sz="6" w:space="0" w:color="auto"/>
              <w:right w:val="outset" w:sz="6" w:space="0" w:color="auto"/>
            </w:tcBorders>
            <w:noWrap/>
            <w:vAlign w:val="center"/>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 xml:space="preserve">Indice de </w:t>
            </w:r>
          </w:p>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Progression</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w:t>
            </w:r>
          </w:p>
        </w:tc>
        <w:tc>
          <w:tcPr>
            <w:tcW w:w="19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BMW</w:t>
            </w:r>
          </w:p>
        </w:tc>
        <w:tc>
          <w:tcPr>
            <w:tcW w:w="10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346 211</w:t>
            </w:r>
          </w:p>
        </w:tc>
        <w:tc>
          <w:tcPr>
            <w:tcW w:w="17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71,27</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2</w:t>
            </w:r>
          </w:p>
        </w:tc>
        <w:tc>
          <w:tcPr>
            <w:tcW w:w="19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PEUGEOT</w:t>
            </w:r>
          </w:p>
        </w:tc>
        <w:tc>
          <w:tcPr>
            <w:tcW w:w="10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3 023 989</w:t>
            </w:r>
          </w:p>
        </w:tc>
        <w:tc>
          <w:tcPr>
            <w:tcW w:w="17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68,74</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3</w:t>
            </w:r>
          </w:p>
        </w:tc>
        <w:tc>
          <w:tcPr>
            <w:tcW w:w="19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AUDI</w:t>
            </w:r>
          </w:p>
        </w:tc>
        <w:tc>
          <w:tcPr>
            <w:tcW w:w="10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361 054</w:t>
            </w:r>
          </w:p>
        </w:tc>
        <w:tc>
          <w:tcPr>
            <w:tcW w:w="17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68,68</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4</w:t>
            </w:r>
          </w:p>
        </w:tc>
        <w:tc>
          <w:tcPr>
            <w:tcW w:w="19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OPEL</w:t>
            </w:r>
          </w:p>
        </w:tc>
        <w:tc>
          <w:tcPr>
            <w:tcW w:w="10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637 352</w:t>
            </w:r>
          </w:p>
        </w:tc>
        <w:tc>
          <w:tcPr>
            <w:tcW w:w="17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67,59</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5</w:t>
            </w:r>
          </w:p>
        </w:tc>
        <w:tc>
          <w:tcPr>
            <w:tcW w:w="19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VOLKSWAGEN</w:t>
            </w:r>
          </w:p>
        </w:tc>
        <w:tc>
          <w:tcPr>
            <w:tcW w:w="10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952 825</w:t>
            </w:r>
          </w:p>
        </w:tc>
        <w:tc>
          <w:tcPr>
            <w:tcW w:w="17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66,71</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6</w:t>
            </w:r>
          </w:p>
        </w:tc>
        <w:tc>
          <w:tcPr>
            <w:tcW w:w="19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RENAULT</w:t>
            </w:r>
          </w:p>
        </w:tc>
        <w:tc>
          <w:tcPr>
            <w:tcW w:w="10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3 948 410</w:t>
            </w:r>
          </w:p>
        </w:tc>
        <w:tc>
          <w:tcPr>
            <w:tcW w:w="17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66,61</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7</w:t>
            </w:r>
          </w:p>
        </w:tc>
        <w:tc>
          <w:tcPr>
            <w:tcW w:w="19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FIAT</w:t>
            </w:r>
          </w:p>
        </w:tc>
        <w:tc>
          <w:tcPr>
            <w:tcW w:w="10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413 867</w:t>
            </w:r>
          </w:p>
        </w:tc>
        <w:tc>
          <w:tcPr>
            <w:tcW w:w="17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66,03</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8</w:t>
            </w:r>
          </w:p>
        </w:tc>
        <w:tc>
          <w:tcPr>
            <w:tcW w:w="19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FORD</w:t>
            </w:r>
          </w:p>
        </w:tc>
        <w:tc>
          <w:tcPr>
            <w:tcW w:w="10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693 815</w:t>
            </w:r>
          </w:p>
        </w:tc>
        <w:tc>
          <w:tcPr>
            <w:tcW w:w="17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64,66</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9</w:t>
            </w:r>
          </w:p>
        </w:tc>
        <w:tc>
          <w:tcPr>
            <w:tcW w:w="19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CITROEN</w:t>
            </w:r>
          </w:p>
        </w:tc>
        <w:tc>
          <w:tcPr>
            <w:tcW w:w="10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2 055 843</w:t>
            </w:r>
          </w:p>
        </w:tc>
        <w:tc>
          <w:tcPr>
            <w:tcW w:w="17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64,65</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10</w:t>
            </w:r>
          </w:p>
        </w:tc>
        <w:tc>
          <w:tcPr>
            <w:tcW w:w="19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NISSAN</w:t>
            </w:r>
          </w:p>
        </w:tc>
        <w:tc>
          <w:tcPr>
            <w:tcW w:w="10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233 395</w:t>
            </w:r>
          </w:p>
        </w:tc>
        <w:tc>
          <w:tcPr>
            <w:tcW w:w="17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62,32</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11</w:t>
            </w:r>
          </w:p>
        </w:tc>
        <w:tc>
          <w:tcPr>
            <w:tcW w:w="19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MERCEDES BENZ</w:t>
            </w:r>
          </w:p>
        </w:tc>
        <w:tc>
          <w:tcPr>
            <w:tcW w:w="10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402 848</w:t>
            </w:r>
          </w:p>
        </w:tc>
        <w:tc>
          <w:tcPr>
            <w:tcW w:w="17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62,02</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12</w:t>
            </w:r>
          </w:p>
        </w:tc>
        <w:tc>
          <w:tcPr>
            <w:tcW w:w="19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SEAT</w:t>
            </w:r>
          </w:p>
        </w:tc>
        <w:tc>
          <w:tcPr>
            <w:tcW w:w="10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226 572</w:t>
            </w:r>
          </w:p>
        </w:tc>
        <w:tc>
          <w:tcPr>
            <w:tcW w:w="17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57,23</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13</w:t>
            </w:r>
          </w:p>
        </w:tc>
        <w:tc>
          <w:tcPr>
            <w:tcW w:w="19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SUZUKI</w:t>
            </w:r>
          </w:p>
        </w:tc>
        <w:tc>
          <w:tcPr>
            <w:tcW w:w="10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124 774</w:t>
            </w:r>
          </w:p>
        </w:tc>
        <w:tc>
          <w:tcPr>
            <w:tcW w:w="17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52,62</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14</w:t>
            </w:r>
          </w:p>
        </w:tc>
        <w:tc>
          <w:tcPr>
            <w:tcW w:w="19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TOYOTA</w:t>
            </w:r>
          </w:p>
        </w:tc>
        <w:tc>
          <w:tcPr>
            <w:tcW w:w="10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421 928</w:t>
            </w:r>
          </w:p>
        </w:tc>
        <w:tc>
          <w:tcPr>
            <w:tcW w:w="17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51,23</w:t>
            </w:r>
          </w:p>
        </w:tc>
      </w:tr>
      <w:tr w:rsidR="00FC23B9" w:rsidRPr="00FC23B9" w:rsidTr="00FC23B9">
        <w:trPr>
          <w:tblCellSpacing w:w="0" w:type="dxa"/>
        </w:trPr>
        <w:tc>
          <w:tcPr>
            <w:tcW w:w="3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15</w:t>
            </w:r>
          </w:p>
        </w:tc>
        <w:tc>
          <w:tcPr>
            <w:tcW w:w="19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HYUNDAI</w:t>
            </w:r>
          </w:p>
        </w:tc>
        <w:tc>
          <w:tcPr>
            <w:tcW w:w="10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103 843</w:t>
            </w:r>
          </w:p>
        </w:tc>
        <w:tc>
          <w:tcPr>
            <w:tcW w:w="1700" w:type="pct"/>
            <w:tcBorders>
              <w:top w:val="outset" w:sz="6" w:space="0" w:color="auto"/>
              <w:left w:val="outset" w:sz="6" w:space="0" w:color="auto"/>
              <w:bottom w:val="outset" w:sz="6" w:space="0" w:color="auto"/>
              <w:right w:val="outset" w:sz="6" w:space="0" w:color="auto"/>
            </w:tcBorders>
            <w:noWrap/>
            <w:hideMark/>
          </w:tcPr>
          <w:p w:rsidR="00FC23B9" w:rsidRPr="00FC23B9" w:rsidRDefault="00FC23B9" w:rsidP="00FC23B9">
            <w:pPr>
              <w:spacing w:before="100" w:beforeAutospacing="1" w:after="100" w:afterAutospacing="1" w:line="240" w:lineRule="auto"/>
              <w:jc w:val="right"/>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49,02</w:t>
            </w:r>
          </w:p>
        </w:tc>
      </w:tr>
    </w:tbl>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Le constructeur BMW se place en tête de ce classement, avec un indice de progression de 71,27. Peugeot prend la seconde place de ce classement, avec un indice de 68,74, suivi de près par Audi (68,68).</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lastRenderedPageBreak/>
        <w:t>Concrètement, cela signifie que les véhicules produits par BMW, Peugeot et Audi, ont progressé vis-à-vis du contrôle technique ces dernières années. C’est donc une excellente nouvelle pour Peugeot.</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Les Japonais Toyota et Suzuki qui, comme nous l’avons vu précédemment, obtiennent d’excellents résultats au contrôle technique, connaissent assez logiquement une progression moins importante que les autres constructeurs, puisque leur marge de progression est plus faible.</w:t>
      </w:r>
    </w:p>
    <w:p w:rsidR="00FC23B9" w:rsidRPr="00FC23B9" w:rsidRDefault="00FC23B9" w:rsidP="00FC23B9">
      <w:pPr>
        <w:spacing w:before="100" w:beforeAutospacing="1" w:after="100" w:afterAutospacing="1" w:line="240" w:lineRule="auto"/>
        <w:jc w:val="both"/>
        <w:outlineLvl w:val="1"/>
        <w:rPr>
          <w:rFonts w:ascii="Times New Roman" w:eastAsia="Times New Roman" w:hAnsi="Times New Roman" w:cs="Times New Roman"/>
          <w:sz w:val="36"/>
          <w:szCs w:val="36"/>
          <w:lang w:eastAsia="fr-FR"/>
        </w:rPr>
      </w:pPr>
      <w:r w:rsidRPr="00FC23B9">
        <w:rPr>
          <w:rFonts w:ascii="Times New Roman" w:eastAsia="Times New Roman" w:hAnsi="Times New Roman" w:cs="Times New Roman"/>
          <w:sz w:val="36"/>
          <w:szCs w:val="36"/>
          <w:lang w:eastAsia="fr-FR"/>
        </w:rPr>
        <w:t>Conclusion </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Notre étude avait pour objectif de déterminer quels constructeurs s’en sortent le mieux au contrôle technique.</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lang w:eastAsia="fr-FR"/>
        </w:rPr>
        <w:t xml:space="preserve">Les constructeurs japonais ont clairement une longueur d’avance sur les autres : Lexus, Toyota et </w:t>
      </w:r>
      <w:proofErr w:type="spellStart"/>
      <w:r w:rsidRPr="00FC23B9">
        <w:rPr>
          <w:rFonts w:ascii="Times New Roman" w:eastAsia="Times New Roman" w:hAnsi="Times New Roman" w:cs="Times New Roman"/>
          <w:lang w:eastAsia="fr-FR"/>
        </w:rPr>
        <w:t>Daihatsu</w:t>
      </w:r>
      <w:proofErr w:type="spellEnd"/>
      <w:r w:rsidRPr="00FC23B9">
        <w:rPr>
          <w:rFonts w:ascii="Times New Roman" w:eastAsia="Times New Roman" w:hAnsi="Times New Roman" w:cs="Times New Roman"/>
          <w:lang w:eastAsia="fr-FR"/>
        </w:rPr>
        <w:t xml:space="preserve"> obtiennent les meilleurs résultats au contrôle technique. </w:t>
      </w:r>
      <w:r w:rsidRPr="00FC23B9">
        <w:rPr>
          <w:rFonts w:ascii="Times New Roman" w:eastAsia="Times New Roman" w:hAnsi="Times New Roman" w:cs="Times New Roman"/>
          <w:b w:val="0"/>
          <w:bCs w:val="0"/>
          <w:lang w:eastAsia="fr-FR"/>
        </w:rPr>
        <w:t xml:space="preserve">Lexus et Toyota sont d’ailleurs les seuls constructeurs à obtenir un </w:t>
      </w:r>
      <w:r w:rsidRPr="00FC23B9">
        <w:rPr>
          <w:rFonts w:ascii="Times New Roman" w:eastAsia="Times New Roman" w:hAnsi="Times New Roman" w:cs="Times New Roman"/>
          <w:lang w:eastAsia="fr-FR"/>
        </w:rPr>
        <w:t>taux de contre-visites inférieur à 10%</w:t>
      </w:r>
      <w:r w:rsidRPr="00FC23B9">
        <w:rPr>
          <w:rFonts w:ascii="Times New Roman" w:eastAsia="Times New Roman" w:hAnsi="Times New Roman" w:cs="Times New Roman"/>
          <w:b w:val="0"/>
          <w:bCs w:val="0"/>
          <w:lang w:eastAsia="fr-FR"/>
        </w:rPr>
        <w:t xml:space="preserve">. Les marques allemandes, réputées pour leur fiabilité, ont pourtant des taux de contre-visites bien plus élevés que ces marques japonaises. Fiat, </w:t>
      </w:r>
      <w:proofErr w:type="spellStart"/>
      <w:r w:rsidRPr="00FC23B9">
        <w:rPr>
          <w:rFonts w:ascii="Times New Roman" w:eastAsia="Times New Roman" w:hAnsi="Times New Roman" w:cs="Times New Roman"/>
          <w:b w:val="0"/>
          <w:bCs w:val="0"/>
          <w:lang w:eastAsia="fr-FR"/>
        </w:rPr>
        <w:t>Ssangyong</w:t>
      </w:r>
      <w:proofErr w:type="spellEnd"/>
      <w:r w:rsidRPr="00FC23B9">
        <w:rPr>
          <w:rFonts w:ascii="Times New Roman" w:eastAsia="Times New Roman" w:hAnsi="Times New Roman" w:cs="Times New Roman"/>
          <w:b w:val="0"/>
          <w:bCs w:val="0"/>
          <w:lang w:eastAsia="fr-FR"/>
        </w:rPr>
        <w:t>  et Lada sont quant à eux les constructeurs qui enregistrent les plus mauvais résultats avec des taux de contre-visites supérieurs à 24%.</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 xml:space="preserve">Parmi les constructeurs ayant le plus de véhicules en circulation sur le territoire français, ce sont </w:t>
      </w:r>
      <w:r w:rsidRPr="00FC23B9">
        <w:rPr>
          <w:rFonts w:ascii="Times New Roman" w:eastAsia="Times New Roman" w:hAnsi="Times New Roman" w:cs="Times New Roman"/>
          <w:lang w:eastAsia="fr-FR"/>
        </w:rPr>
        <w:t>Toyota</w:t>
      </w:r>
      <w:r w:rsidRPr="00FC23B9">
        <w:rPr>
          <w:rFonts w:ascii="Times New Roman" w:eastAsia="Times New Roman" w:hAnsi="Times New Roman" w:cs="Times New Roman"/>
          <w:b w:val="0"/>
          <w:bCs w:val="0"/>
          <w:lang w:eastAsia="fr-FR"/>
        </w:rPr>
        <w:t xml:space="preserve"> (avec un taux moyen de contre-visites de 9,54%), </w:t>
      </w:r>
      <w:r w:rsidRPr="00FC23B9">
        <w:rPr>
          <w:rFonts w:ascii="Times New Roman" w:eastAsia="Times New Roman" w:hAnsi="Times New Roman" w:cs="Times New Roman"/>
          <w:lang w:eastAsia="fr-FR"/>
        </w:rPr>
        <w:t>Suzuki</w:t>
      </w:r>
      <w:r w:rsidRPr="00FC23B9">
        <w:rPr>
          <w:rFonts w:ascii="Times New Roman" w:eastAsia="Times New Roman" w:hAnsi="Times New Roman" w:cs="Times New Roman"/>
          <w:b w:val="0"/>
          <w:bCs w:val="0"/>
          <w:lang w:eastAsia="fr-FR"/>
        </w:rPr>
        <w:t xml:space="preserve"> (11,58%) et </w:t>
      </w:r>
      <w:r w:rsidRPr="00FC23B9">
        <w:rPr>
          <w:rFonts w:ascii="Times New Roman" w:eastAsia="Times New Roman" w:hAnsi="Times New Roman" w:cs="Times New Roman"/>
          <w:lang w:eastAsia="fr-FR"/>
        </w:rPr>
        <w:t>Mercedes Benz</w:t>
      </w:r>
      <w:r w:rsidRPr="00FC23B9">
        <w:rPr>
          <w:rFonts w:ascii="Times New Roman" w:eastAsia="Times New Roman" w:hAnsi="Times New Roman" w:cs="Times New Roman"/>
          <w:b w:val="0"/>
          <w:bCs w:val="0"/>
          <w:lang w:eastAsia="fr-FR"/>
        </w:rPr>
        <w:t xml:space="preserve"> (14,15%) qui obtiennent les meilleurs résultats au contrôle technique.</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Parmi les mauvais élèves</w:t>
      </w:r>
      <w:r w:rsidRPr="00FC23B9">
        <w:rPr>
          <w:rFonts w:ascii="Times New Roman" w:eastAsia="Times New Roman" w:hAnsi="Times New Roman" w:cs="Times New Roman"/>
          <w:lang w:eastAsia="fr-FR"/>
        </w:rPr>
        <w:t>, c’est</w:t>
      </w:r>
      <w:r w:rsidRPr="00FC23B9">
        <w:rPr>
          <w:rFonts w:ascii="Times New Roman" w:eastAsia="Times New Roman" w:hAnsi="Times New Roman" w:cs="Times New Roman"/>
          <w:b w:val="0"/>
          <w:bCs w:val="0"/>
          <w:lang w:eastAsia="fr-FR"/>
        </w:rPr>
        <w:t xml:space="preserve"> </w:t>
      </w:r>
      <w:r w:rsidRPr="00FC23B9">
        <w:rPr>
          <w:rFonts w:ascii="Times New Roman" w:eastAsia="Times New Roman" w:hAnsi="Times New Roman" w:cs="Times New Roman"/>
          <w:lang w:eastAsia="fr-FR"/>
        </w:rPr>
        <w:t>Fiat qui enregistre le taux de contre-visites le plus élevé (24,01%)</w:t>
      </w:r>
      <w:r w:rsidRPr="00FC23B9">
        <w:rPr>
          <w:rFonts w:ascii="Times New Roman" w:eastAsia="Times New Roman" w:hAnsi="Times New Roman" w:cs="Times New Roman"/>
          <w:b w:val="0"/>
          <w:bCs w:val="0"/>
          <w:lang w:eastAsia="fr-FR"/>
        </w:rPr>
        <w:t xml:space="preserve">, </w:t>
      </w:r>
      <w:r w:rsidRPr="00FC23B9">
        <w:rPr>
          <w:rFonts w:ascii="Times New Roman" w:eastAsia="Times New Roman" w:hAnsi="Times New Roman" w:cs="Times New Roman"/>
          <w:lang w:eastAsia="fr-FR"/>
        </w:rPr>
        <w:t>Renault (21,51%) et Opel (20,32%)</w:t>
      </w:r>
      <w:r w:rsidRPr="00FC23B9">
        <w:rPr>
          <w:rFonts w:ascii="Times New Roman" w:eastAsia="Times New Roman" w:hAnsi="Times New Roman" w:cs="Times New Roman"/>
          <w:b w:val="0"/>
          <w:bCs w:val="0"/>
          <w:lang w:eastAsia="fr-FR"/>
        </w:rPr>
        <w:t xml:space="preserve">, suivis de près par Peugeot (19,83%). Néanmoins, nous pouvons remarquer que </w:t>
      </w:r>
      <w:r w:rsidRPr="00FC23B9">
        <w:rPr>
          <w:rFonts w:ascii="Times New Roman" w:eastAsia="Times New Roman" w:hAnsi="Times New Roman" w:cs="Times New Roman"/>
          <w:lang w:eastAsia="fr-FR"/>
        </w:rPr>
        <w:t>Citroën (17,08%) se place devant les marques allemandes BMW (17,43%) et Volkswagen (18,27%)</w:t>
      </w:r>
      <w:r w:rsidRPr="00FC23B9">
        <w:rPr>
          <w:rFonts w:ascii="Times New Roman" w:eastAsia="Times New Roman" w:hAnsi="Times New Roman" w:cs="Times New Roman"/>
          <w:b w:val="0"/>
          <w:bCs w:val="0"/>
          <w:lang w:eastAsia="fr-FR"/>
        </w:rPr>
        <w:t>.</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t xml:space="preserve">Enfin, notre étude révèle que les </w:t>
      </w:r>
      <w:r w:rsidRPr="00FC23B9">
        <w:rPr>
          <w:rFonts w:ascii="Times New Roman" w:eastAsia="Times New Roman" w:hAnsi="Times New Roman" w:cs="Times New Roman"/>
          <w:lang w:eastAsia="fr-FR"/>
        </w:rPr>
        <w:t>constructeurs ayant le plus progressé</w:t>
      </w:r>
      <w:r w:rsidRPr="00FC23B9">
        <w:rPr>
          <w:rFonts w:ascii="Times New Roman" w:eastAsia="Times New Roman" w:hAnsi="Times New Roman" w:cs="Times New Roman"/>
          <w:b w:val="0"/>
          <w:bCs w:val="0"/>
          <w:lang w:eastAsia="fr-FR"/>
        </w:rPr>
        <w:t xml:space="preserve"> sur les 5 dernières années sont BMW, en tête de notre palmarès, suivi par Peugeot et Audi.</w:t>
      </w:r>
    </w:p>
    <w:p w:rsidR="00FC23B9" w:rsidRPr="00FC23B9" w:rsidRDefault="00FC23B9" w:rsidP="00FC23B9">
      <w:pPr>
        <w:spacing w:after="0" w:line="240" w:lineRule="auto"/>
        <w:rPr>
          <w:rFonts w:ascii="Times New Roman" w:eastAsia="Times New Roman" w:hAnsi="Times New Roman" w:cs="Times New Roman"/>
          <w:b w:val="0"/>
          <w:bCs w:val="0"/>
          <w:lang w:eastAsia="fr-FR"/>
        </w:rPr>
      </w:pPr>
      <w:r w:rsidRPr="00FC23B9">
        <w:rPr>
          <w:rFonts w:ascii="Times New Roman" w:eastAsia="Times New Roman" w:hAnsi="Times New Roman" w:cs="Times New Roman"/>
          <w:b w:val="0"/>
          <w:bCs w:val="0"/>
          <w:lang w:eastAsia="fr-FR"/>
        </w:rPr>
        <w:pict>
          <v:rect id="_x0000_i1025" style="width:149.7pt;height:.6pt" o:hrpct="330" o:hrstd="t" o:hr="t" fillcolor="#a0a0a0" stroked="f"/>
        </w:pic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hyperlink r:id="rId6" w:anchor="_ftnref1" w:tooltip="" w:history="1">
        <w:r w:rsidRPr="00FC23B9">
          <w:rPr>
            <w:rFonts w:ascii="Times New Roman" w:eastAsia="Times New Roman" w:hAnsi="Times New Roman" w:cs="Times New Roman"/>
            <w:b w:val="0"/>
            <w:bCs w:val="0"/>
            <w:color w:val="0000FF"/>
            <w:u w:val="single"/>
            <w:lang w:eastAsia="fr-FR"/>
          </w:rPr>
          <w:t>[1]</w:t>
        </w:r>
      </w:hyperlink>
      <w:r w:rsidRPr="00FC23B9">
        <w:rPr>
          <w:rFonts w:ascii="Times New Roman" w:eastAsia="Times New Roman" w:hAnsi="Times New Roman" w:cs="Times New Roman"/>
          <w:b w:val="0"/>
          <w:bCs w:val="0"/>
          <w:lang w:eastAsia="fr-FR"/>
        </w:rPr>
        <w:t xml:space="preserve"> http://www.utac-otc.com/</w:t>
      </w:r>
    </w:p>
    <w:p w:rsidR="00FC23B9" w:rsidRPr="00FC23B9" w:rsidRDefault="00FC23B9" w:rsidP="00FC23B9">
      <w:pPr>
        <w:spacing w:before="100" w:beforeAutospacing="1" w:after="100" w:afterAutospacing="1" w:line="240" w:lineRule="auto"/>
        <w:jc w:val="both"/>
        <w:rPr>
          <w:rFonts w:ascii="Times New Roman" w:eastAsia="Times New Roman" w:hAnsi="Times New Roman" w:cs="Times New Roman"/>
          <w:b w:val="0"/>
          <w:bCs w:val="0"/>
          <w:lang w:eastAsia="fr-FR"/>
        </w:rPr>
      </w:pPr>
      <w:hyperlink r:id="rId7" w:anchor="_ftnref2" w:tooltip="" w:history="1">
        <w:r w:rsidRPr="00FC23B9">
          <w:rPr>
            <w:rFonts w:ascii="Times New Roman" w:eastAsia="Times New Roman" w:hAnsi="Times New Roman" w:cs="Times New Roman"/>
            <w:b w:val="0"/>
            <w:bCs w:val="0"/>
            <w:color w:val="0000FF"/>
            <w:u w:val="single"/>
            <w:lang w:eastAsia="fr-FR"/>
          </w:rPr>
          <w:t>[2]</w:t>
        </w:r>
      </w:hyperlink>
      <w:r w:rsidRPr="00FC23B9">
        <w:rPr>
          <w:rFonts w:ascii="Times New Roman" w:eastAsia="Times New Roman" w:hAnsi="Times New Roman" w:cs="Times New Roman"/>
          <w:b w:val="0"/>
          <w:bCs w:val="0"/>
          <w:lang w:eastAsia="fr-FR"/>
        </w:rPr>
        <w:t xml:space="preserve"> Sur l’ensemble du parc de véhicules légers et utilitaires soumis à visite technique règlementaire.</w:t>
      </w:r>
    </w:p>
    <w:p w:rsidR="00A20F99" w:rsidRDefault="00A20F99"/>
    <w:sectPr w:rsidR="00A20F9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0C6CAC"/>
    <w:multiLevelType w:val="multilevel"/>
    <w:tmpl w:val="7CF09B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3B9"/>
    <w:rsid w:val="00A20F99"/>
    <w:rsid w:val="00FC23B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b/>
        <w:bCs/>
        <w:sz w:val="24"/>
        <w:szCs w:val="24"/>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FC23B9"/>
    <w:pPr>
      <w:spacing w:before="100" w:beforeAutospacing="1" w:after="100" w:afterAutospacing="1" w:line="240" w:lineRule="auto"/>
      <w:outlineLvl w:val="1"/>
    </w:pPr>
    <w:rPr>
      <w:rFonts w:ascii="Times New Roman" w:eastAsia="Times New Roman" w:hAnsi="Times New Roman" w:cs="Times New Roman"/>
      <w:sz w:val="36"/>
      <w:szCs w:val="36"/>
      <w:lang w:eastAsia="fr-FR"/>
    </w:rPr>
  </w:style>
  <w:style w:type="paragraph" w:styleId="Titre3">
    <w:name w:val="heading 3"/>
    <w:basedOn w:val="Normal"/>
    <w:link w:val="Titre3Car"/>
    <w:uiPriority w:val="9"/>
    <w:qFormat/>
    <w:rsid w:val="00FC23B9"/>
    <w:pPr>
      <w:spacing w:before="100" w:beforeAutospacing="1" w:after="100" w:afterAutospacing="1" w:line="240" w:lineRule="auto"/>
      <w:outlineLvl w:val="2"/>
    </w:pPr>
    <w:rPr>
      <w:rFonts w:ascii="Times New Roman" w:eastAsia="Times New Roman" w:hAnsi="Times New Roman" w:cs="Times New Roman"/>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FC23B9"/>
    <w:rPr>
      <w:rFonts w:ascii="Times New Roman" w:eastAsia="Times New Roman" w:hAnsi="Times New Roman" w:cs="Times New Roman"/>
      <w:sz w:val="36"/>
      <w:szCs w:val="36"/>
      <w:lang w:eastAsia="fr-FR"/>
    </w:rPr>
  </w:style>
  <w:style w:type="character" w:customStyle="1" w:styleId="Titre3Car">
    <w:name w:val="Titre 3 Car"/>
    <w:basedOn w:val="Policepardfaut"/>
    <w:link w:val="Titre3"/>
    <w:uiPriority w:val="9"/>
    <w:rsid w:val="00FC23B9"/>
    <w:rPr>
      <w:rFonts w:ascii="Times New Roman" w:eastAsia="Times New Roman" w:hAnsi="Times New Roman" w:cs="Times New Roman"/>
      <w:sz w:val="27"/>
      <w:szCs w:val="27"/>
      <w:lang w:eastAsia="fr-FR"/>
    </w:rPr>
  </w:style>
  <w:style w:type="paragraph" w:styleId="NormalWeb">
    <w:name w:val="Normal (Web)"/>
    <w:basedOn w:val="Normal"/>
    <w:uiPriority w:val="99"/>
    <w:unhideWhenUsed/>
    <w:rsid w:val="00FC23B9"/>
    <w:pPr>
      <w:spacing w:before="100" w:beforeAutospacing="1" w:after="100" w:afterAutospacing="1" w:line="240" w:lineRule="auto"/>
    </w:pPr>
    <w:rPr>
      <w:rFonts w:ascii="Times New Roman" w:eastAsia="Times New Roman" w:hAnsi="Times New Roman" w:cs="Times New Roman"/>
      <w:b w:val="0"/>
      <w:bCs w:val="0"/>
      <w:lang w:eastAsia="fr-FR"/>
    </w:rPr>
  </w:style>
  <w:style w:type="character" w:styleId="Lienhypertexte">
    <w:name w:val="Hyperlink"/>
    <w:basedOn w:val="Policepardfaut"/>
    <w:uiPriority w:val="99"/>
    <w:semiHidden/>
    <w:unhideWhenUsed/>
    <w:rsid w:val="00FC23B9"/>
    <w:rPr>
      <w:color w:val="0000FF"/>
      <w:u w:val="single"/>
    </w:rPr>
  </w:style>
  <w:style w:type="character" w:customStyle="1" w:styleId="fn">
    <w:name w:val="fn"/>
    <w:basedOn w:val="Policepardfaut"/>
    <w:rsid w:val="00FC23B9"/>
  </w:style>
  <w:style w:type="character" w:customStyle="1" w:styleId="says">
    <w:name w:val="says"/>
    <w:basedOn w:val="Policepardfaut"/>
    <w:rsid w:val="00FC23B9"/>
  </w:style>
  <w:style w:type="paragraph" w:styleId="z-Hautduformulaire">
    <w:name w:val="HTML Top of Form"/>
    <w:basedOn w:val="Normal"/>
    <w:next w:val="Normal"/>
    <w:link w:val="z-HautduformulaireCar"/>
    <w:hidden/>
    <w:uiPriority w:val="99"/>
    <w:semiHidden/>
    <w:unhideWhenUsed/>
    <w:rsid w:val="00FC23B9"/>
    <w:pPr>
      <w:pBdr>
        <w:bottom w:val="single" w:sz="6" w:space="1" w:color="auto"/>
      </w:pBdr>
      <w:spacing w:after="0" w:line="240" w:lineRule="auto"/>
      <w:jc w:val="center"/>
    </w:pPr>
    <w:rPr>
      <w:rFonts w:eastAsia="Times New Roman"/>
      <w:b w:val="0"/>
      <w:bCs w:val="0"/>
      <w:vanish/>
      <w:sz w:val="16"/>
      <w:szCs w:val="16"/>
      <w:lang w:eastAsia="fr-FR"/>
    </w:rPr>
  </w:style>
  <w:style w:type="character" w:customStyle="1" w:styleId="z-HautduformulaireCar">
    <w:name w:val="z-Haut du formulaire Car"/>
    <w:basedOn w:val="Policepardfaut"/>
    <w:link w:val="z-Hautduformulaire"/>
    <w:uiPriority w:val="99"/>
    <w:semiHidden/>
    <w:rsid w:val="00FC23B9"/>
    <w:rPr>
      <w:rFonts w:eastAsia="Times New Roman"/>
      <w:b w:val="0"/>
      <w:bCs w:val="0"/>
      <w:vanish/>
      <w:sz w:val="16"/>
      <w:szCs w:val="16"/>
      <w:lang w:eastAsia="fr-FR"/>
    </w:rPr>
  </w:style>
  <w:style w:type="paragraph" w:customStyle="1" w:styleId="comment-notes">
    <w:name w:val="comment-notes"/>
    <w:basedOn w:val="Normal"/>
    <w:rsid w:val="00FC23B9"/>
    <w:pPr>
      <w:spacing w:before="100" w:beforeAutospacing="1" w:after="100" w:afterAutospacing="1" w:line="240" w:lineRule="auto"/>
    </w:pPr>
    <w:rPr>
      <w:rFonts w:ascii="Times New Roman" w:eastAsia="Times New Roman" w:hAnsi="Times New Roman" w:cs="Times New Roman"/>
      <w:b w:val="0"/>
      <w:bCs w:val="0"/>
      <w:lang w:eastAsia="fr-FR"/>
    </w:rPr>
  </w:style>
  <w:style w:type="character" w:customStyle="1" w:styleId="required">
    <w:name w:val="required"/>
    <w:basedOn w:val="Policepardfaut"/>
    <w:rsid w:val="00FC23B9"/>
  </w:style>
  <w:style w:type="paragraph" w:customStyle="1" w:styleId="comment-form-author">
    <w:name w:val="comment-form-author"/>
    <w:basedOn w:val="Normal"/>
    <w:rsid w:val="00FC23B9"/>
    <w:pPr>
      <w:spacing w:before="100" w:beforeAutospacing="1" w:after="100" w:afterAutospacing="1" w:line="240" w:lineRule="auto"/>
    </w:pPr>
    <w:rPr>
      <w:rFonts w:ascii="Times New Roman" w:eastAsia="Times New Roman" w:hAnsi="Times New Roman" w:cs="Times New Roman"/>
      <w:b w:val="0"/>
      <w:bCs w:val="0"/>
      <w:lang w:eastAsia="fr-FR"/>
    </w:rPr>
  </w:style>
  <w:style w:type="paragraph" w:customStyle="1" w:styleId="comment-form-email">
    <w:name w:val="comment-form-email"/>
    <w:basedOn w:val="Normal"/>
    <w:rsid w:val="00FC23B9"/>
    <w:pPr>
      <w:spacing w:before="100" w:beforeAutospacing="1" w:after="100" w:afterAutospacing="1" w:line="240" w:lineRule="auto"/>
    </w:pPr>
    <w:rPr>
      <w:rFonts w:ascii="Times New Roman" w:eastAsia="Times New Roman" w:hAnsi="Times New Roman" w:cs="Times New Roman"/>
      <w:b w:val="0"/>
      <w:bCs w:val="0"/>
      <w:lang w:eastAsia="fr-FR"/>
    </w:rPr>
  </w:style>
  <w:style w:type="paragraph" w:customStyle="1" w:styleId="comment-form-url">
    <w:name w:val="comment-form-url"/>
    <w:basedOn w:val="Normal"/>
    <w:rsid w:val="00FC23B9"/>
    <w:pPr>
      <w:spacing w:before="100" w:beforeAutospacing="1" w:after="100" w:afterAutospacing="1" w:line="240" w:lineRule="auto"/>
    </w:pPr>
    <w:rPr>
      <w:rFonts w:ascii="Times New Roman" w:eastAsia="Times New Roman" w:hAnsi="Times New Roman" w:cs="Times New Roman"/>
      <w:b w:val="0"/>
      <w:bCs w:val="0"/>
      <w:lang w:eastAsia="fr-FR"/>
    </w:rPr>
  </w:style>
  <w:style w:type="paragraph" w:customStyle="1" w:styleId="comment-form-comment">
    <w:name w:val="comment-form-comment"/>
    <w:basedOn w:val="Normal"/>
    <w:rsid w:val="00FC23B9"/>
    <w:pPr>
      <w:spacing w:before="100" w:beforeAutospacing="1" w:after="100" w:afterAutospacing="1" w:line="240" w:lineRule="auto"/>
    </w:pPr>
    <w:rPr>
      <w:rFonts w:ascii="Times New Roman" w:eastAsia="Times New Roman" w:hAnsi="Times New Roman" w:cs="Times New Roman"/>
      <w:b w:val="0"/>
      <w:bCs w:val="0"/>
      <w:lang w:eastAsia="fr-FR"/>
    </w:rPr>
  </w:style>
  <w:style w:type="paragraph" w:styleId="z-Basduformulaire">
    <w:name w:val="HTML Bottom of Form"/>
    <w:basedOn w:val="Normal"/>
    <w:next w:val="Normal"/>
    <w:link w:val="z-BasduformulaireCar"/>
    <w:hidden/>
    <w:uiPriority w:val="99"/>
    <w:semiHidden/>
    <w:unhideWhenUsed/>
    <w:rsid w:val="00FC23B9"/>
    <w:pPr>
      <w:pBdr>
        <w:top w:val="single" w:sz="6" w:space="1" w:color="auto"/>
      </w:pBdr>
      <w:spacing w:after="0" w:line="240" w:lineRule="auto"/>
      <w:jc w:val="center"/>
    </w:pPr>
    <w:rPr>
      <w:rFonts w:eastAsia="Times New Roman"/>
      <w:b w:val="0"/>
      <w:bCs w:val="0"/>
      <w:vanish/>
      <w:sz w:val="16"/>
      <w:szCs w:val="16"/>
      <w:lang w:eastAsia="fr-FR"/>
    </w:rPr>
  </w:style>
  <w:style w:type="character" w:customStyle="1" w:styleId="z-BasduformulaireCar">
    <w:name w:val="z-Bas du formulaire Car"/>
    <w:basedOn w:val="Policepardfaut"/>
    <w:link w:val="z-Basduformulaire"/>
    <w:uiPriority w:val="99"/>
    <w:semiHidden/>
    <w:rsid w:val="00FC23B9"/>
    <w:rPr>
      <w:rFonts w:eastAsia="Times New Roman"/>
      <w:b w:val="0"/>
      <w:bCs w:val="0"/>
      <w:vanish/>
      <w:sz w:val="16"/>
      <w:szCs w:val="16"/>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b/>
        <w:bCs/>
        <w:sz w:val="24"/>
        <w:szCs w:val="24"/>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FC23B9"/>
    <w:pPr>
      <w:spacing w:before="100" w:beforeAutospacing="1" w:after="100" w:afterAutospacing="1" w:line="240" w:lineRule="auto"/>
      <w:outlineLvl w:val="1"/>
    </w:pPr>
    <w:rPr>
      <w:rFonts w:ascii="Times New Roman" w:eastAsia="Times New Roman" w:hAnsi="Times New Roman" w:cs="Times New Roman"/>
      <w:sz w:val="36"/>
      <w:szCs w:val="36"/>
      <w:lang w:eastAsia="fr-FR"/>
    </w:rPr>
  </w:style>
  <w:style w:type="paragraph" w:styleId="Titre3">
    <w:name w:val="heading 3"/>
    <w:basedOn w:val="Normal"/>
    <w:link w:val="Titre3Car"/>
    <w:uiPriority w:val="9"/>
    <w:qFormat/>
    <w:rsid w:val="00FC23B9"/>
    <w:pPr>
      <w:spacing w:before="100" w:beforeAutospacing="1" w:after="100" w:afterAutospacing="1" w:line="240" w:lineRule="auto"/>
      <w:outlineLvl w:val="2"/>
    </w:pPr>
    <w:rPr>
      <w:rFonts w:ascii="Times New Roman" w:eastAsia="Times New Roman" w:hAnsi="Times New Roman" w:cs="Times New Roman"/>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FC23B9"/>
    <w:rPr>
      <w:rFonts w:ascii="Times New Roman" w:eastAsia="Times New Roman" w:hAnsi="Times New Roman" w:cs="Times New Roman"/>
      <w:sz w:val="36"/>
      <w:szCs w:val="36"/>
      <w:lang w:eastAsia="fr-FR"/>
    </w:rPr>
  </w:style>
  <w:style w:type="character" w:customStyle="1" w:styleId="Titre3Car">
    <w:name w:val="Titre 3 Car"/>
    <w:basedOn w:val="Policepardfaut"/>
    <w:link w:val="Titre3"/>
    <w:uiPriority w:val="9"/>
    <w:rsid w:val="00FC23B9"/>
    <w:rPr>
      <w:rFonts w:ascii="Times New Roman" w:eastAsia="Times New Roman" w:hAnsi="Times New Roman" w:cs="Times New Roman"/>
      <w:sz w:val="27"/>
      <w:szCs w:val="27"/>
      <w:lang w:eastAsia="fr-FR"/>
    </w:rPr>
  </w:style>
  <w:style w:type="paragraph" w:styleId="NormalWeb">
    <w:name w:val="Normal (Web)"/>
    <w:basedOn w:val="Normal"/>
    <w:uiPriority w:val="99"/>
    <w:unhideWhenUsed/>
    <w:rsid w:val="00FC23B9"/>
    <w:pPr>
      <w:spacing w:before="100" w:beforeAutospacing="1" w:after="100" w:afterAutospacing="1" w:line="240" w:lineRule="auto"/>
    </w:pPr>
    <w:rPr>
      <w:rFonts w:ascii="Times New Roman" w:eastAsia="Times New Roman" w:hAnsi="Times New Roman" w:cs="Times New Roman"/>
      <w:b w:val="0"/>
      <w:bCs w:val="0"/>
      <w:lang w:eastAsia="fr-FR"/>
    </w:rPr>
  </w:style>
  <w:style w:type="character" w:styleId="Lienhypertexte">
    <w:name w:val="Hyperlink"/>
    <w:basedOn w:val="Policepardfaut"/>
    <w:uiPriority w:val="99"/>
    <w:semiHidden/>
    <w:unhideWhenUsed/>
    <w:rsid w:val="00FC23B9"/>
    <w:rPr>
      <w:color w:val="0000FF"/>
      <w:u w:val="single"/>
    </w:rPr>
  </w:style>
  <w:style w:type="character" w:customStyle="1" w:styleId="fn">
    <w:name w:val="fn"/>
    <w:basedOn w:val="Policepardfaut"/>
    <w:rsid w:val="00FC23B9"/>
  </w:style>
  <w:style w:type="character" w:customStyle="1" w:styleId="says">
    <w:name w:val="says"/>
    <w:basedOn w:val="Policepardfaut"/>
    <w:rsid w:val="00FC23B9"/>
  </w:style>
  <w:style w:type="paragraph" w:styleId="z-Hautduformulaire">
    <w:name w:val="HTML Top of Form"/>
    <w:basedOn w:val="Normal"/>
    <w:next w:val="Normal"/>
    <w:link w:val="z-HautduformulaireCar"/>
    <w:hidden/>
    <w:uiPriority w:val="99"/>
    <w:semiHidden/>
    <w:unhideWhenUsed/>
    <w:rsid w:val="00FC23B9"/>
    <w:pPr>
      <w:pBdr>
        <w:bottom w:val="single" w:sz="6" w:space="1" w:color="auto"/>
      </w:pBdr>
      <w:spacing w:after="0" w:line="240" w:lineRule="auto"/>
      <w:jc w:val="center"/>
    </w:pPr>
    <w:rPr>
      <w:rFonts w:eastAsia="Times New Roman"/>
      <w:b w:val="0"/>
      <w:bCs w:val="0"/>
      <w:vanish/>
      <w:sz w:val="16"/>
      <w:szCs w:val="16"/>
      <w:lang w:eastAsia="fr-FR"/>
    </w:rPr>
  </w:style>
  <w:style w:type="character" w:customStyle="1" w:styleId="z-HautduformulaireCar">
    <w:name w:val="z-Haut du formulaire Car"/>
    <w:basedOn w:val="Policepardfaut"/>
    <w:link w:val="z-Hautduformulaire"/>
    <w:uiPriority w:val="99"/>
    <w:semiHidden/>
    <w:rsid w:val="00FC23B9"/>
    <w:rPr>
      <w:rFonts w:eastAsia="Times New Roman"/>
      <w:b w:val="0"/>
      <w:bCs w:val="0"/>
      <w:vanish/>
      <w:sz w:val="16"/>
      <w:szCs w:val="16"/>
      <w:lang w:eastAsia="fr-FR"/>
    </w:rPr>
  </w:style>
  <w:style w:type="paragraph" w:customStyle="1" w:styleId="comment-notes">
    <w:name w:val="comment-notes"/>
    <w:basedOn w:val="Normal"/>
    <w:rsid w:val="00FC23B9"/>
    <w:pPr>
      <w:spacing w:before="100" w:beforeAutospacing="1" w:after="100" w:afterAutospacing="1" w:line="240" w:lineRule="auto"/>
    </w:pPr>
    <w:rPr>
      <w:rFonts w:ascii="Times New Roman" w:eastAsia="Times New Roman" w:hAnsi="Times New Roman" w:cs="Times New Roman"/>
      <w:b w:val="0"/>
      <w:bCs w:val="0"/>
      <w:lang w:eastAsia="fr-FR"/>
    </w:rPr>
  </w:style>
  <w:style w:type="character" w:customStyle="1" w:styleId="required">
    <w:name w:val="required"/>
    <w:basedOn w:val="Policepardfaut"/>
    <w:rsid w:val="00FC23B9"/>
  </w:style>
  <w:style w:type="paragraph" w:customStyle="1" w:styleId="comment-form-author">
    <w:name w:val="comment-form-author"/>
    <w:basedOn w:val="Normal"/>
    <w:rsid w:val="00FC23B9"/>
    <w:pPr>
      <w:spacing w:before="100" w:beforeAutospacing="1" w:after="100" w:afterAutospacing="1" w:line="240" w:lineRule="auto"/>
    </w:pPr>
    <w:rPr>
      <w:rFonts w:ascii="Times New Roman" w:eastAsia="Times New Roman" w:hAnsi="Times New Roman" w:cs="Times New Roman"/>
      <w:b w:val="0"/>
      <w:bCs w:val="0"/>
      <w:lang w:eastAsia="fr-FR"/>
    </w:rPr>
  </w:style>
  <w:style w:type="paragraph" w:customStyle="1" w:styleId="comment-form-email">
    <w:name w:val="comment-form-email"/>
    <w:basedOn w:val="Normal"/>
    <w:rsid w:val="00FC23B9"/>
    <w:pPr>
      <w:spacing w:before="100" w:beforeAutospacing="1" w:after="100" w:afterAutospacing="1" w:line="240" w:lineRule="auto"/>
    </w:pPr>
    <w:rPr>
      <w:rFonts w:ascii="Times New Roman" w:eastAsia="Times New Roman" w:hAnsi="Times New Roman" w:cs="Times New Roman"/>
      <w:b w:val="0"/>
      <w:bCs w:val="0"/>
      <w:lang w:eastAsia="fr-FR"/>
    </w:rPr>
  </w:style>
  <w:style w:type="paragraph" w:customStyle="1" w:styleId="comment-form-url">
    <w:name w:val="comment-form-url"/>
    <w:basedOn w:val="Normal"/>
    <w:rsid w:val="00FC23B9"/>
    <w:pPr>
      <w:spacing w:before="100" w:beforeAutospacing="1" w:after="100" w:afterAutospacing="1" w:line="240" w:lineRule="auto"/>
    </w:pPr>
    <w:rPr>
      <w:rFonts w:ascii="Times New Roman" w:eastAsia="Times New Roman" w:hAnsi="Times New Roman" w:cs="Times New Roman"/>
      <w:b w:val="0"/>
      <w:bCs w:val="0"/>
      <w:lang w:eastAsia="fr-FR"/>
    </w:rPr>
  </w:style>
  <w:style w:type="paragraph" w:customStyle="1" w:styleId="comment-form-comment">
    <w:name w:val="comment-form-comment"/>
    <w:basedOn w:val="Normal"/>
    <w:rsid w:val="00FC23B9"/>
    <w:pPr>
      <w:spacing w:before="100" w:beforeAutospacing="1" w:after="100" w:afterAutospacing="1" w:line="240" w:lineRule="auto"/>
    </w:pPr>
    <w:rPr>
      <w:rFonts w:ascii="Times New Roman" w:eastAsia="Times New Roman" w:hAnsi="Times New Roman" w:cs="Times New Roman"/>
      <w:b w:val="0"/>
      <w:bCs w:val="0"/>
      <w:lang w:eastAsia="fr-FR"/>
    </w:rPr>
  </w:style>
  <w:style w:type="paragraph" w:styleId="z-Basduformulaire">
    <w:name w:val="HTML Bottom of Form"/>
    <w:basedOn w:val="Normal"/>
    <w:next w:val="Normal"/>
    <w:link w:val="z-BasduformulaireCar"/>
    <w:hidden/>
    <w:uiPriority w:val="99"/>
    <w:semiHidden/>
    <w:unhideWhenUsed/>
    <w:rsid w:val="00FC23B9"/>
    <w:pPr>
      <w:pBdr>
        <w:top w:val="single" w:sz="6" w:space="1" w:color="auto"/>
      </w:pBdr>
      <w:spacing w:after="0" w:line="240" w:lineRule="auto"/>
      <w:jc w:val="center"/>
    </w:pPr>
    <w:rPr>
      <w:rFonts w:eastAsia="Times New Roman"/>
      <w:b w:val="0"/>
      <w:bCs w:val="0"/>
      <w:vanish/>
      <w:sz w:val="16"/>
      <w:szCs w:val="16"/>
      <w:lang w:eastAsia="fr-FR"/>
    </w:rPr>
  </w:style>
  <w:style w:type="character" w:customStyle="1" w:styleId="z-BasduformulaireCar">
    <w:name w:val="z-Bas du formulaire Car"/>
    <w:basedOn w:val="Policepardfaut"/>
    <w:link w:val="z-Basduformulaire"/>
    <w:uiPriority w:val="99"/>
    <w:semiHidden/>
    <w:rsid w:val="00FC23B9"/>
    <w:rPr>
      <w:rFonts w:eastAsia="Times New Roman"/>
      <w:b w:val="0"/>
      <w:bCs w:val="0"/>
      <w:vanish/>
      <w:sz w:val="16"/>
      <w:szCs w:val="1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7162374">
      <w:bodyDiv w:val="1"/>
      <w:marLeft w:val="0"/>
      <w:marRight w:val="0"/>
      <w:marTop w:val="0"/>
      <w:marBottom w:val="0"/>
      <w:divBdr>
        <w:top w:val="none" w:sz="0" w:space="0" w:color="auto"/>
        <w:left w:val="none" w:sz="0" w:space="0" w:color="auto"/>
        <w:bottom w:val="none" w:sz="0" w:space="0" w:color="auto"/>
        <w:right w:val="none" w:sz="0" w:space="0" w:color="auto"/>
      </w:divBdr>
      <w:divsChild>
        <w:div w:id="1770547002">
          <w:marLeft w:val="0"/>
          <w:marRight w:val="0"/>
          <w:marTop w:val="0"/>
          <w:marBottom w:val="0"/>
          <w:divBdr>
            <w:top w:val="none" w:sz="0" w:space="0" w:color="auto"/>
            <w:left w:val="none" w:sz="0" w:space="0" w:color="auto"/>
            <w:bottom w:val="none" w:sz="0" w:space="0" w:color="auto"/>
            <w:right w:val="none" w:sz="0" w:space="0" w:color="auto"/>
          </w:divBdr>
        </w:div>
        <w:div w:id="1429807392">
          <w:marLeft w:val="0"/>
          <w:marRight w:val="0"/>
          <w:marTop w:val="0"/>
          <w:marBottom w:val="0"/>
          <w:divBdr>
            <w:top w:val="none" w:sz="0" w:space="0" w:color="auto"/>
            <w:left w:val="none" w:sz="0" w:space="0" w:color="auto"/>
            <w:bottom w:val="none" w:sz="0" w:space="0" w:color="auto"/>
            <w:right w:val="none" w:sz="0" w:space="0" w:color="auto"/>
          </w:divBdr>
          <w:divsChild>
            <w:div w:id="1703751263">
              <w:marLeft w:val="0"/>
              <w:marRight w:val="0"/>
              <w:marTop w:val="0"/>
              <w:marBottom w:val="0"/>
              <w:divBdr>
                <w:top w:val="none" w:sz="0" w:space="0" w:color="auto"/>
                <w:left w:val="none" w:sz="0" w:space="0" w:color="auto"/>
                <w:bottom w:val="none" w:sz="0" w:space="0" w:color="auto"/>
                <w:right w:val="none" w:sz="0" w:space="0" w:color="auto"/>
              </w:divBdr>
            </w:div>
            <w:div w:id="2032801659">
              <w:marLeft w:val="0"/>
              <w:marRight w:val="0"/>
              <w:marTop w:val="0"/>
              <w:marBottom w:val="0"/>
              <w:divBdr>
                <w:top w:val="none" w:sz="0" w:space="0" w:color="auto"/>
                <w:left w:val="none" w:sz="0" w:space="0" w:color="auto"/>
                <w:bottom w:val="none" w:sz="0" w:space="0" w:color="auto"/>
                <w:right w:val="none" w:sz="0" w:space="0" w:color="auto"/>
              </w:divBdr>
            </w:div>
            <w:div w:id="1322076882">
              <w:marLeft w:val="0"/>
              <w:marRight w:val="0"/>
              <w:marTop w:val="0"/>
              <w:marBottom w:val="0"/>
              <w:divBdr>
                <w:top w:val="none" w:sz="0" w:space="0" w:color="auto"/>
                <w:left w:val="none" w:sz="0" w:space="0" w:color="auto"/>
                <w:bottom w:val="none" w:sz="0" w:space="0" w:color="auto"/>
                <w:right w:val="none" w:sz="0" w:space="0" w:color="auto"/>
              </w:divBdr>
            </w:div>
            <w:div w:id="193426921">
              <w:marLeft w:val="0"/>
              <w:marRight w:val="0"/>
              <w:marTop w:val="0"/>
              <w:marBottom w:val="0"/>
              <w:divBdr>
                <w:top w:val="none" w:sz="0" w:space="0" w:color="auto"/>
                <w:left w:val="none" w:sz="0" w:space="0" w:color="auto"/>
                <w:bottom w:val="none" w:sz="0" w:space="0" w:color="auto"/>
                <w:right w:val="none" w:sz="0" w:space="0" w:color="auto"/>
              </w:divBdr>
            </w:div>
            <w:div w:id="262301708">
              <w:marLeft w:val="0"/>
              <w:marRight w:val="0"/>
              <w:marTop w:val="0"/>
              <w:marBottom w:val="0"/>
              <w:divBdr>
                <w:top w:val="none" w:sz="0" w:space="0" w:color="auto"/>
                <w:left w:val="none" w:sz="0" w:space="0" w:color="auto"/>
                <w:bottom w:val="none" w:sz="0" w:space="0" w:color="auto"/>
                <w:right w:val="none" w:sz="0" w:space="0" w:color="auto"/>
              </w:divBdr>
            </w:div>
            <w:div w:id="907693276">
              <w:marLeft w:val="0"/>
              <w:marRight w:val="0"/>
              <w:marTop w:val="0"/>
              <w:marBottom w:val="0"/>
              <w:divBdr>
                <w:top w:val="none" w:sz="0" w:space="0" w:color="auto"/>
                <w:left w:val="none" w:sz="0" w:space="0" w:color="auto"/>
                <w:bottom w:val="none" w:sz="0" w:space="0" w:color="auto"/>
                <w:right w:val="none" w:sz="0" w:space="0" w:color="auto"/>
              </w:divBdr>
            </w:div>
            <w:div w:id="1123958080">
              <w:marLeft w:val="0"/>
              <w:marRight w:val="0"/>
              <w:marTop w:val="0"/>
              <w:marBottom w:val="0"/>
              <w:divBdr>
                <w:top w:val="none" w:sz="0" w:space="0" w:color="auto"/>
                <w:left w:val="none" w:sz="0" w:space="0" w:color="auto"/>
                <w:bottom w:val="none" w:sz="0" w:space="0" w:color="auto"/>
                <w:right w:val="none" w:sz="0" w:space="0" w:color="auto"/>
              </w:divBdr>
            </w:div>
            <w:div w:id="1651055182">
              <w:marLeft w:val="0"/>
              <w:marRight w:val="0"/>
              <w:marTop w:val="0"/>
              <w:marBottom w:val="0"/>
              <w:divBdr>
                <w:top w:val="none" w:sz="0" w:space="0" w:color="auto"/>
                <w:left w:val="none" w:sz="0" w:space="0" w:color="auto"/>
                <w:bottom w:val="none" w:sz="0" w:space="0" w:color="auto"/>
                <w:right w:val="none" w:sz="0" w:space="0" w:color="auto"/>
              </w:divBdr>
            </w:div>
            <w:div w:id="757562101">
              <w:marLeft w:val="0"/>
              <w:marRight w:val="0"/>
              <w:marTop w:val="0"/>
              <w:marBottom w:val="0"/>
              <w:divBdr>
                <w:top w:val="none" w:sz="0" w:space="0" w:color="auto"/>
                <w:left w:val="none" w:sz="0" w:space="0" w:color="auto"/>
                <w:bottom w:val="none" w:sz="0" w:space="0" w:color="auto"/>
                <w:right w:val="none" w:sz="0" w:space="0" w:color="auto"/>
              </w:divBdr>
            </w:div>
            <w:div w:id="1004863960">
              <w:marLeft w:val="0"/>
              <w:marRight w:val="0"/>
              <w:marTop w:val="0"/>
              <w:marBottom w:val="0"/>
              <w:divBdr>
                <w:top w:val="none" w:sz="0" w:space="0" w:color="auto"/>
                <w:left w:val="none" w:sz="0" w:space="0" w:color="auto"/>
                <w:bottom w:val="none" w:sz="0" w:space="0" w:color="auto"/>
                <w:right w:val="none" w:sz="0" w:space="0" w:color="auto"/>
              </w:divBdr>
            </w:div>
            <w:div w:id="1292131746">
              <w:marLeft w:val="0"/>
              <w:marRight w:val="0"/>
              <w:marTop w:val="0"/>
              <w:marBottom w:val="0"/>
              <w:divBdr>
                <w:top w:val="none" w:sz="0" w:space="0" w:color="auto"/>
                <w:left w:val="none" w:sz="0" w:space="0" w:color="auto"/>
                <w:bottom w:val="none" w:sz="0" w:space="0" w:color="auto"/>
                <w:right w:val="none" w:sz="0" w:space="0" w:color="auto"/>
              </w:divBdr>
            </w:div>
            <w:div w:id="667681412">
              <w:marLeft w:val="0"/>
              <w:marRight w:val="0"/>
              <w:marTop w:val="0"/>
              <w:marBottom w:val="0"/>
              <w:divBdr>
                <w:top w:val="none" w:sz="0" w:space="0" w:color="auto"/>
                <w:left w:val="none" w:sz="0" w:space="0" w:color="auto"/>
                <w:bottom w:val="none" w:sz="0" w:space="0" w:color="auto"/>
                <w:right w:val="none" w:sz="0" w:space="0" w:color="auto"/>
              </w:divBdr>
            </w:div>
            <w:div w:id="83427375">
              <w:marLeft w:val="0"/>
              <w:marRight w:val="0"/>
              <w:marTop w:val="0"/>
              <w:marBottom w:val="0"/>
              <w:divBdr>
                <w:top w:val="none" w:sz="0" w:space="0" w:color="auto"/>
                <w:left w:val="none" w:sz="0" w:space="0" w:color="auto"/>
                <w:bottom w:val="none" w:sz="0" w:space="0" w:color="auto"/>
                <w:right w:val="none" w:sz="0" w:space="0" w:color="auto"/>
              </w:divBdr>
            </w:div>
            <w:div w:id="456803833">
              <w:marLeft w:val="0"/>
              <w:marRight w:val="0"/>
              <w:marTop w:val="0"/>
              <w:marBottom w:val="0"/>
              <w:divBdr>
                <w:top w:val="none" w:sz="0" w:space="0" w:color="auto"/>
                <w:left w:val="none" w:sz="0" w:space="0" w:color="auto"/>
                <w:bottom w:val="none" w:sz="0" w:space="0" w:color="auto"/>
                <w:right w:val="none" w:sz="0" w:space="0" w:color="auto"/>
              </w:divBdr>
            </w:div>
            <w:div w:id="248664031">
              <w:marLeft w:val="0"/>
              <w:marRight w:val="0"/>
              <w:marTop w:val="0"/>
              <w:marBottom w:val="0"/>
              <w:divBdr>
                <w:top w:val="none" w:sz="0" w:space="0" w:color="auto"/>
                <w:left w:val="none" w:sz="0" w:space="0" w:color="auto"/>
                <w:bottom w:val="none" w:sz="0" w:space="0" w:color="auto"/>
                <w:right w:val="none" w:sz="0" w:space="0" w:color="auto"/>
              </w:divBdr>
            </w:div>
            <w:div w:id="1263537842">
              <w:marLeft w:val="0"/>
              <w:marRight w:val="0"/>
              <w:marTop w:val="0"/>
              <w:marBottom w:val="0"/>
              <w:divBdr>
                <w:top w:val="none" w:sz="0" w:space="0" w:color="auto"/>
                <w:left w:val="none" w:sz="0" w:space="0" w:color="auto"/>
                <w:bottom w:val="none" w:sz="0" w:space="0" w:color="auto"/>
                <w:right w:val="none" w:sz="0" w:space="0" w:color="auto"/>
              </w:divBdr>
            </w:div>
            <w:div w:id="1097334944">
              <w:marLeft w:val="0"/>
              <w:marRight w:val="0"/>
              <w:marTop w:val="0"/>
              <w:marBottom w:val="0"/>
              <w:divBdr>
                <w:top w:val="none" w:sz="0" w:space="0" w:color="auto"/>
                <w:left w:val="none" w:sz="0" w:space="0" w:color="auto"/>
                <w:bottom w:val="none" w:sz="0" w:space="0" w:color="auto"/>
                <w:right w:val="none" w:sz="0" w:space="0" w:color="auto"/>
              </w:divBdr>
            </w:div>
            <w:div w:id="2094475918">
              <w:marLeft w:val="0"/>
              <w:marRight w:val="0"/>
              <w:marTop w:val="0"/>
              <w:marBottom w:val="0"/>
              <w:divBdr>
                <w:top w:val="none" w:sz="0" w:space="0" w:color="auto"/>
                <w:left w:val="none" w:sz="0" w:space="0" w:color="auto"/>
                <w:bottom w:val="none" w:sz="0" w:space="0" w:color="auto"/>
                <w:right w:val="none" w:sz="0" w:space="0" w:color="auto"/>
              </w:divBdr>
            </w:div>
            <w:div w:id="403256203">
              <w:marLeft w:val="0"/>
              <w:marRight w:val="0"/>
              <w:marTop w:val="0"/>
              <w:marBottom w:val="0"/>
              <w:divBdr>
                <w:top w:val="none" w:sz="0" w:space="0" w:color="auto"/>
                <w:left w:val="none" w:sz="0" w:space="0" w:color="auto"/>
                <w:bottom w:val="none" w:sz="0" w:space="0" w:color="auto"/>
                <w:right w:val="none" w:sz="0" w:space="0" w:color="auto"/>
              </w:divBdr>
            </w:div>
            <w:div w:id="65880199">
              <w:marLeft w:val="0"/>
              <w:marRight w:val="0"/>
              <w:marTop w:val="0"/>
              <w:marBottom w:val="0"/>
              <w:divBdr>
                <w:top w:val="none" w:sz="0" w:space="0" w:color="auto"/>
                <w:left w:val="none" w:sz="0" w:space="0" w:color="auto"/>
                <w:bottom w:val="none" w:sz="0" w:space="0" w:color="auto"/>
                <w:right w:val="none" w:sz="0" w:space="0" w:color="auto"/>
              </w:divBdr>
            </w:div>
            <w:div w:id="603609081">
              <w:marLeft w:val="0"/>
              <w:marRight w:val="0"/>
              <w:marTop w:val="0"/>
              <w:marBottom w:val="0"/>
              <w:divBdr>
                <w:top w:val="none" w:sz="0" w:space="0" w:color="auto"/>
                <w:left w:val="none" w:sz="0" w:space="0" w:color="auto"/>
                <w:bottom w:val="none" w:sz="0" w:space="0" w:color="auto"/>
                <w:right w:val="none" w:sz="0" w:space="0" w:color="auto"/>
              </w:divBdr>
            </w:div>
            <w:div w:id="267544977">
              <w:marLeft w:val="0"/>
              <w:marRight w:val="0"/>
              <w:marTop w:val="0"/>
              <w:marBottom w:val="0"/>
              <w:divBdr>
                <w:top w:val="none" w:sz="0" w:space="0" w:color="auto"/>
                <w:left w:val="none" w:sz="0" w:space="0" w:color="auto"/>
                <w:bottom w:val="none" w:sz="0" w:space="0" w:color="auto"/>
                <w:right w:val="none" w:sz="0" w:space="0" w:color="auto"/>
              </w:divBdr>
            </w:div>
            <w:div w:id="423960589">
              <w:marLeft w:val="0"/>
              <w:marRight w:val="0"/>
              <w:marTop w:val="0"/>
              <w:marBottom w:val="0"/>
              <w:divBdr>
                <w:top w:val="none" w:sz="0" w:space="0" w:color="auto"/>
                <w:left w:val="none" w:sz="0" w:space="0" w:color="auto"/>
                <w:bottom w:val="none" w:sz="0" w:space="0" w:color="auto"/>
                <w:right w:val="none" w:sz="0" w:space="0" w:color="auto"/>
              </w:divBdr>
            </w:div>
            <w:div w:id="725229036">
              <w:marLeft w:val="0"/>
              <w:marRight w:val="0"/>
              <w:marTop w:val="0"/>
              <w:marBottom w:val="0"/>
              <w:divBdr>
                <w:top w:val="none" w:sz="0" w:space="0" w:color="auto"/>
                <w:left w:val="none" w:sz="0" w:space="0" w:color="auto"/>
                <w:bottom w:val="none" w:sz="0" w:space="0" w:color="auto"/>
                <w:right w:val="none" w:sz="0" w:space="0" w:color="auto"/>
              </w:divBdr>
            </w:div>
            <w:div w:id="1808161799">
              <w:marLeft w:val="0"/>
              <w:marRight w:val="0"/>
              <w:marTop w:val="0"/>
              <w:marBottom w:val="0"/>
              <w:divBdr>
                <w:top w:val="none" w:sz="0" w:space="0" w:color="auto"/>
                <w:left w:val="none" w:sz="0" w:space="0" w:color="auto"/>
                <w:bottom w:val="none" w:sz="0" w:space="0" w:color="auto"/>
                <w:right w:val="none" w:sz="0" w:space="0" w:color="auto"/>
              </w:divBdr>
            </w:div>
            <w:div w:id="756557923">
              <w:marLeft w:val="0"/>
              <w:marRight w:val="0"/>
              <w:marTop w:val="0"/>
              <w:marBottom w:val="0"/>
              <w:divBdr>
                <w:top w:val="none" w:sz="0" w:space="0" w:color="auto"/>
                <w:left w:val="none" w:sz="0" w:space="0" w:color="auto"/>
                <w:bottom w:val="none" w:sz="0" w:space="0" w:color="auto"/>
                <w:right w:val="none" w:sz="0" w:space="0" w:color="auto"/>
              </w:divBdr>
            </w:div>
            <w:div w:id="2077164054">
              <w:marLeft w:val="0"/>
              <w:marRight w:val="0"/>
              <w:marTop w:val="0"/>
              <w:marBottom w:val="0"/>
              <w:divBdr>
                <w:top w:val="none" w:sz="0" w:space="0" w:color="auto"/>
                <w:left w:val="none" w:sz="0" w:space="0" w:color="auto"/>
                <w:bottom w:val="none" w:sz="0" w:space="0" w:color="auto"/>
                <w:right w:val="none" w:sz="0" w:space="0" w:color="auto"/>
              </w:divBdr>
            </w:div>
            <w:div w:id="54730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simplauto.com/blog/etude-quels-constructeurs-sen-sortent-le-mieux-au-controle-techniqu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mplauto.com/blog/etude-quels-constructeurs-sen-sortent-le-mieux-au-controle-techniqu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1227</Words>
  <Characters>6749</Characters>
  <Application>Microsoft Office Word</Application>
  <DocSecurity>0</DocSecurity>
  <Lines>56</Lines>
  <Paragraphs>15</Paragraphs>
  <ScaleCrop>false</ScaleCrop>
  <HeadingPairs>
    <vt:vector size="2" baseType="variant">
      <vt:variant>
        <vt:lpstr>Titre</vt:lpstr>
      </vt:variant>
      <vt:variant>
        <vt:i4>1</vt:i4>
      </vt:variant>
    </vt:vector>
  </HeadingPairs>
  <TitlesOfParts>
    <vt:vector size="1" baseType="lpstr">
      <vt:lpstr/>
    </vt:vector>
  </TitlesOfParts>
  <Company>DTSI</Company>
  <LinksUpToDate>false</LinksUpToDate>
  <CharactersWithSpaces>7961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UPS</dc:creator>
  <cp:lastModifiedBy>UPS</cp:lastModifiedBy>
  <cp:revision>1</cp:revision>
  <dcterms:created xsi:type="dcterms:W3CDTF">2015-02-09T16:27:00Z</dcterms:created>
  <dcterms:modified xsi:type="dcterms:W3CDTF">2015-02-09T16:28:00Z</dcterms:modified>
</cp:coreProperties>
</file>